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490A" w14:textId="77777777" w:rsidR="00607D9D" w:rsidRPr="00F67EA0" w:rsidRDefault="00607D9D" w:rsidP="00607D9D">
      <w:pPr>
        <w:tabs>
          <w:tab w:val="left" w:pos="9540"/>
        </w:tabs>
        <w:ind w:left="5387"/>
        <w:rPr>
          <w:szCs w:val="22"/>
          <w:lang w:eastAsia="lt-LT"/>
        </w:rPr>
      </w:pPr>
      <w:r w:rsidRPr="00F67EA0">
        <w:rPr>
          <w:szCs w:val="22"/>
          <w:lang w:eastAsia="lt-LT"/>
        </w:rPr>
        <w:t>Biudžeto vykdymo ataskaitų rinkinių rengimo taisyklių</w:t>
      </w:r>
    </w:p>
    <w:p w14:paraId="57B7D5C7" w14:textId="77777777" w:rsidR="00607D9D" w:rsidRPr="00F67EA0" w:rsidRDefault="00607D9D" w:rsidP="00607D9D">
      <w:pPr>
        <w:tabs>
          <w:tab w:val="left" w:pos="9540"/>
        </w:tabs>
        <w:ind w:left="5387"/>
        <w:rPr>
          <w:szCs w:val="22"/>
          <w:lang w:eastAsia="lt-LT"/>
        </w:rPr>
      </w:pPr>
      <w:r w:rsidRPr="00F67EA0">
        <w:rPr>
          <w:szCs w:val="22"/>
          <w:lang w:eastAsia="lt-LT"/>
        </w:rPr>
        <w:t>2 priedas</w:t>
      </w:r>
    </w:p>
    <w:p w14:paraId="429128A1" w14:textId="77777777" w:rsidR="00607D9D" w:rsidRPr="00F67EA0" w:rsidRDefault="00607D9D">
      <w:pPr>
        <w:jc w:val="center"/>
        <w:rPr>
          <w:b/>
          <w:szCs w:val="24"/>
          <w:lang w:eastAsia="lt-LT"/>
        </w:rPr>
      </w:pPr>
    </w:p>
    <w:p w14:paraId="55D0938F" w14:textId="77777777" w:rsidR="009972FA" w:rsidRPr="00F67EA0" w:rsidRDefault="008702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ŠIAULIŲ </w:t>
      </w:r>
      <w:r w:rsidR="000E0981">
        <w:rPr>
          <w:b/>
          <w:szCs w:val="24"/>
          <w:lang w:eastAsia="lt-LT"/>
        </w:rPr>
        <w:t>MIESTO SAVIVALDYBĖS GLOBOS NAMAI</w:t>
      </w:r>
    </w:p>
    <w:p w14:paraId="3DB9C471" w14:textId="77777777" w:rsidR="009972FA" w:rsidRPr="00F67EA0" w:rsidRDefault="008D0018" w:rsidP="003C545A">
      <w:pPr>
        <w:jc w:val="center"/>
        <w:rPr>
          <w:bCs/>
          <w:sz w:val="20"/>
          <w:lang w:eastAsia="lt-LT"/>
        </w:rPr>
      </w:pPr>
      <w:r w:rsidRPr="00F67EA0">
        <w:rPr>
          <w:bCs/>
          <w:sz w:val="20"/>
          <w:lang w:eastAsia="lt-LT"/>
        </w:rPr>
        <w:t>(dokumento sudarytojo pavadinimas)</w:t>
      </w:r>
    </w:p>
    <w:p w14:paraId="1AB207AF" w14:textId="77777777" w:rsidR="009972FA" w:rsidRPr="00F67EA0" w:rsidRDefault="00E921FB">
      <w:pPr>
        <w:jc w:val="center"/>
        <w:rPr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9 MĖNESIŲ</w:t>
      </w:r>
      <w:r w:rsidR="00C27508" w:rsidRPr="00F67EA0">
        <w:rPr>
          <w:b/>
          <w:bCs/>
          <w:szCs w:val="24"/>
          <w:lang w:eastAsia="lt-LT"/>
        </w:rPr>
        <w:t xml:space="preserve"> BIUDŽETO VYKDYMO </w:t>
      </w:r>
    </w:p>
    <w:p w14:paraId="3ADD75E1" w14:textId="77777777" w:rsidR="004F511D" w:rsidRPr="00547CEA" w:rsidRDefault="00C27508" w:rsidP="00547CEA">
      <w:pPr>
        <w:jc w:val="center"/>
        <w:rPr>
          <w:bCs/>
          <w:sz w:val="20"/>
          <w:lang w:eastAsia="lt-LT"/>
        </w:rPr>
      </w:pPr>
      <w:r w:rsidRPr="00547CEA">
        <w:rPr>
          <w:bCs/>
          <w:sz w:val="20"/>
          <w:lang w:eastAsia="lt-LT"/>
        </w:rPr>
        <w:t>(I ketvirčio, pusmečio, 9 mėnesių, metinė)</w:t>
      </w:r>
    </w:p>
    <w:p w14:paraId="5D000025" w14:textId="77777777" w:rsidR="009972FA" w:rsidRPr="00F67EA0" w:rsidRDefault="008D0018">
      <w:pPr>
        <w:jc w:val="center"/>
        <w:rPr>
          <w:b/>
          <w:bCs/>
          <w:szCs w:val="24"/>
          <w:lang w:eastAsia="lt-LT"/>
        </w:rPr>
      </w:pPr>
      <w:r w:rsidRPr="00F67EA0">
        <w:rPr>
          <w:b/>
          <w:bCs/>
          <w:szCs w:val="24"/>
          <w:lang w:eastAsia="lt-LT"/>
        </w:rPr>
        <w:t>ATASKAITŲ RINKINIO</w:t>
      </w:r>
    </w:p>
    <w:p w14:paraId="64126940" w14:textId="77777777" w:rsidR="009972FA" w:rsidRPr="00F67EA0" w:rsidRDefault="008D0018">
      <w:pPr>
        <w:jc w:val="center"/>
        <w:rPr>
          <w:b/>
          <w:bCs/>
          <w:szCs w:val="24"/>
          <w:lang w:eastAsia="lt-LT"/>
        </w:rPr>
      </w:pPr>
      <w:r w:rsidRPr="00F67EA0">
        <w:rPr>
          <w:b/>
          <w:bCs/>
          <w:szCs w:val="24"/>
          <w:lang w:eastAsia="lt-LT"/>
        </w:rPr>
        <w:t>AIŠKINAMASIS RAŠTAS</w:t>
      </w:r>
    </w:p>
    <w:p w14:paraId="315CA5FA" w14:textId="77777777" w:rsidR="009972FA" w:rsidRPr="00F67EA0" w:rsidRDefault="009972FA">
      <w:pPr>
        <w:jc w:val="center"/>
        <w:rPr>
          <w:sz w:val="18"/>
          <w:szCs w:val="18"/>
          <w:lang w:eastAsia="lt-LT"/>
        </w:rPr>
      </w:pPr>
    </w:p>
    <w:p w14:paraId="4A58269C" w14:textId="77777777" w:rsidR="009972FA" w:rsidRPr="00F67EA0" w:rsidRDefault="00C27508">
      <w:pPr>
        <w:jc w:val="center"/>
        <w:rPr>
          <w:szCs w:val="24"/>
          <w:lang w:eastAsia="lt-LT"/>
        </w:rPr>
      </w:pPr>
      <w:r w:rsidRPr="00F67EA0">
        <w:rPr>
          <w:szCs w:val="24"/>
          <w:lang w:eastAsia="lt-LT"/>
        </w:rPr>
        <w:t>2025-0</w:t>
      </w:r>
      <w:r w:rsidR="00C13ABD">
        <w:rPr>
          <w:szCs w:val="24"/>
          <w:lang w:eastAsia="lt-LT"/>
        </w:rPr>
        <w:t>9</w:t>
      </w:r>
      <w:r w:rsidRPr="00F67EA0">
        <w:rPr>
          <w:szCs w:val="24"/>
          <w:lang w:eastAsia="lt-LT"/>
        </w:rPr>
        <w:t>-</w:t>
      </w:r>
      <w:r w:rsidR="00777036">
        <w:rPr>
          <w:szCs w:val="24"/>
          <w:lang w:eastAsia="lt-LT"/>
        </w:rPr>
        <w:t>3</w:t>
      </w:r>
      <w:r w:rsidR="00116C3D">
        <w:rPr>
          <w:szCs w:val="24"/>
          <w:lang w:eastAsia="lt-LT"/>
        </w:rPr>
        <w:t>0</w:t>
      </w:r>
      <w:r w:rsidR="00547CEA">
        <w:rPr>
          <w:szCs w:val="24"/>
          <w:lang w:eastAsia="lt-LT"/>
        </w:rPr>
        <w:t xml:space="preserve"> </w:t>
      </w:r>
      <w:r w:rsidRPr="00F67EA0">
        <w:rPr>
          <w:szCs w:val="24"/>
          <w:lang w:eastAsia="lt-LT"/>
        </w:rPr>
        <w:t xml:space="preserve">Nr. </w:t>
      </w:r>
      <w:r w:rsidR="00C13ABD">
        <w:rPr>
          <w:szCs w:val="24"/>
          <w:lang w:eastAsia="lt-LT"/>
        </w:rPr>
        <w:t>3</w:t>
      </w:r>
    </w:p>
    <w:p w14:paraId="32CE10C1" w14:textId="77777777" w:rsidR="009972FA" w:rsidRPr="00F67EA0" w:rsidRDefault="00547CEA">
      <w:pPr>
        <w:ind w:left="3828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</w:t>
      </w:r>
      <w:r w:rsidR="008D0018" w:rsidRPr="00F67EA0">
        <w:rPr>
          <w:sz w:val="20"/>
          <w:lang w:eastAsia="lt-LT"/>
        </w:rPr>
        <w:t>(data)</w:t>
      </w:r>
    </w:p>
    <w:p w14:paraId="26658D0A" w14:textId="77777777" w:rsidR="009972FA" w:rsidRPr="00F67EA0" w:rsidRDefault="009972FA" w:rsidP="003C545A">
      <w:pPr>
        <w:rPr>
          <w:sz w:val="20"/>
          <w:lang w:eastAsia="lt-LT"/>
        </w:rPr>
      </w:pPr>
    </w:p>
    <w:p w14:paraId="20E072B4" w14:textId="77777777" w:rsidR="009972FA" w:rsidRPr="00F67EA0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F67EA0">
        <w:rPr>
          <w:b/>
          <w:szCs w:val="24"/>
          <w:lang w:eastAsia="lt-LT"/>
        </w:rPr>
        <w:t>I SKYRIUS</w:t>
      </w:r>
    </w:p>
    <w:p w14:paraId="5D9D3476" w14:textId="77777777" w:rsidR="009972FA" w:rsidRPr="00F67EA0" w:rsidRDefault="008D0018">
      <w:pPr>
        <w:jc w:val="center"/>
        <w:rPr>
          <w:b/>
          <w:szCs w:val="24"/>
          <w:lang w:eastAsia="lt-LT"/>
        </w:rPr>
      </w:pPr>
      <w:r w:rsidRPr="00F67EA0">
        <w:rPr>
          <w:b/>
          <w:szCs w:val="24"/>
          <w:lang w:eastAsia="lt-LT"/>
        </w:rPr>
        <w:t>BENDROSIOS NUOSTATOS</w:t>
      </w:r>
    </w:p>
    <w:p w14:paraId="72F2813C" w14:textId="77777777" w:rsidR="009972FA" w:rsidRPr="00F67EA0" w:rsidRDefault="009972FA">
      <w:pPr>
        <w:jc w:val="both"/>
        <w:rPr>
          <w:b/>
          <w:sz w:val="20"/>
          <w:lang w:eastAsia="lt-LT"/>
        </w:rPr>
      </w:pPr>
    </w:p>
    <w:p w14:paraId="5C54C9FD" w14:textId="77777777" w:rsidR="001069B4" w:rsidRPr="005A2B1F" w:rsidRDefault="001069B4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lt-LT"/>
        </w:rPr>
      </w:pPr>
      <w:r w:rsidRPr="005A2B1F">
        <w:rPr>
          <w:szCs w:val="24"/>
          <w:lang w:eastAsia="lt-LT"/>
        </w:rPr>
        <w:t>Biudžeto vykdymo ataskaitų rinkinys yra parengtas pagal šiuos teisės aktus:</w:t>
      </w:r>
    </w:p>
    <w:p w14:paraId="3BD5DE08" w14:textId="77777777" w:rsidR="001069B4" w:rsidRPr="005A2B1F" w:rsidRDefault="00D31E54" w:rsidP="005A2B1F">
      <w:pPr>
        <w:tabs>
          <w:tab w:val="left" w:pos="540"/>
        </w:tabs>
        <w:ind w:firstLine="993"/>
        <w:jc w:val="both"/>
        <w:rPr>
          <w:i/>
          <w:iCs/>
          <w:szCs w:val="24"/>
          <w:lang w:eastAsia="lt-LT"/>
        </w:rPr>
      </w:pPr>
      <w:r w:rsidRPr="005A2B1F">
        <w:rPr>
          <w:i/>
          <w:iCs/>
          <w:szCs w:val="24"/>
          <w:lang w:eastAsia="lt-LT"/>
        </w:rPr>
        <w:t xml:space="preserve">LR </w:t>
      </w:r>
      <w:r w:rsidR="001069B4" w:rsidRPr="005A2B1F">
        <w:rPr>
          <w:i/>
          <w:iCs/>
          <w:szCs w:val="24"/>
          <w:lang w:eastAsia="lt-LT"/>
        </w:rPr>
        <w:t>Viešojo sektoriaus atskaitomybės įstatymas;</w:t>
      </w:r>
    </w:p>
    <w:p w14:paraId="16B39AB2" w14:textId="77777777" w:rsidR="001069B4" w:rsidRPr="005A2B1F" w:rsidRDefault="00D31E54" w:rsidP="005A2B1F">
      <w:pPr>
        <w:tabs>
          <w:tab w:val="left" w:pos="540"/>
        </w:tabs>
        <w:ind w:firstLine="993"/>
        <w:jc w:val="both"/>
        <w:rPr>
          <w:i/>
          <w:iCs/>
          <w:szCs w:val="24"/>
          <w:lang w:eastAsia="lt-LT"/>
        </w:rPr>
      </w:pPr>
      <w:r w:rsidRPr="005A2B1F">
        <w:rPr>
          <w:i/>
          <w:iCs/>
          <w:szCs w:val="24"/>
          <w:lang w:eastAsia="lt-LT"/>
        </w:rPr>
        <w:t xml:space="preserve">LR </w:t>
      </w:r>
      <w:r w:rsidR="001069B4" w:rsidRPr="005A2B1F">
        <w:rPr>
          <w:i/>
          <w:iCs/>
          <w:szCs w:val="24"/>
          <w:lang w:eastAsia="lt-LT"/>
        </w:rPr>
        <w:t>Biudžeto sandaros įstatymas;</w:t>
      </w:r>
    </w:p>
    <w:p w14:paraId="03426494" w14:textId="77777777" w:rsidR="001069B4" w:rsidRPr="005A2B1F" w:rsidRDefault="00D31E54" w:rsidP="005A2B1F">
      <w:pPr>
        <w:tabs>
          <w:tab w:val="left" w:pos="540"/>
        </w:tabs>
        <w:ind w:firstLine="993"/>
        <w:jc w:val="both"/>
        <w:rPr>
          <w:i/>
          <w:iCs/>
          <w:szCs w:val="24"/>
          <w:lang w:eastAsia="lt-LT"/>
        </w:rPr>
      </w:pPr>
      <w:r w:rsidRPr="005A2B1F">
        <w:rPr>
          <w:i/>
          <w:iCs/>
          <w:szCs w:val="24"/>
          <w:lang w:eastAsia="lt-LT"/>
        </w:rPr>
        <w:t xml:space="preserve">LR </w:t>
      </w:r>
      <w:r w:rsidR="001069B4" w:rsidRPr="005A2B1F">
        <w:rPr>
          <w:i/>
          <w:iCs/>
          <w:szCs w:val="24"/>
          <w:lang w:eastAsia="lt-LT"/>
        </w:rPr>
        <w:t>Finansų ministro įsakymai reglamentuojantys biudžeto apskaitą</w:t>
      </w:r>
      <w:r w:rsidR="00D604C6" w:rsidRPr="005A2B1F">
        <w:rPr>
          <w:i/>
          <w:iCs/>
          <w:szCs w:val="24"/>
          <w:lang w:eastAsia="lt-LT"/>
        </w:rPr>
        <w:t>.</w:t>
      </w:r>
    </w:p>
    <w:p w14:paraId="251920F0" w14:textId="77777777" w:rsidR="00323B61" w:rsidRPr="005A2B1F" w:rsidRDefault="00323B61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lt-LT"/>
        </w:rPr>
      </w:pPr>
      <w:r w:rsidRPr="005A2B1F">
        <w:rPr>
          <w:szCs w:val="24"/>
          <w:lang w:eastAsia="lt-LT"/>
        </w:rPr>
        <w:t xml:space="preserve">Ataskaitų rinkinio rengimo tikslas – </w:t>
      </w:r>
      <w:r w:rsidR="00C4239D" w:rsidRPr="005A2B1F">
        <w:rPr>
          <w:szCs w:val="24"/>
          <w:lang w:eastAsia="lt-LT"/>
        </w:rPr>
        <w:t>pateikti informaciją</w:t>
      </w:r>
      <w:r w:rsidR="001B2786" w:rsidRPr="005A2B1F">
        <w:rPr>
          <w:szCs w:val="24"/>
          <w:lang w:eastAsia="lt-LT"/>
        </w:rPr>
        <w:t xml:space="preserve"> Savivaldybei ir visuomenei</w:t>
      </w:r>
      <w:r w:rsidR="00C4239D" w:rsidRPr="005A2B1F">
        <w:rPr>
          <w:szCs w:val="24"/>
          <w:lang w:eastAsia="lt-LT"/>
        </w:rPr>
        <w:t xml:space="preserve"> apie </w:t>
      </w:r>
      <w:r w:rsidR="009D4092" w:rsidRPr="005A2B1F">
        <w:rPr>
          <w:szCs w:val="24"/>
          <w:lang w:eastAsia="lt-LT"/>
        </w:rPr>
        <w:t>biudžetinės įstaigos</w:t>
      </w:r>
      <w:r w:rsidR="00904B58">
        <w:rPr>
          <w:szCs w:val="24"/>
          <w:lang w:eastAsia="lt-LT"/>
        </w:rPr>
        <w:t xml:space="preserve"> biudžeto vykdymą, </w:t>
      </w:r>
      <w:r w:rsidR="00C4239D" w:rsidRPr="005A2B1F">
        <w:rPr>
          <w:szCs w:val="24"/>
          <w:lang w:eastAsia="lt-LT"/>
        </w:rPr>
        <w:t>teikiant viešąsias paslaugas.</w:t>
      </w:r>
    </w:p>
    <w:p w14:paraId="5011603F" w14:textId="77777777" w:rsidR="00C27508" w:rsidRPr="005A2B1F" w:rsidRDefault="00323B61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lt-LT"/>
        </w:rPr>
      </w:pPr>
      <w:r w:rsidRPr="005A2B1F">
        <w:rPr>
          <w:szCs w:val="24"/>
          <w:lang w:eastAsia="lt-LT"/>
        </w:rPr>
        <w:t xml:space="preserve">Už ataskaitų rinkinio parengimą atsakinga BĮ </w:t>
      </w:r>
      <w:r w:rsidRPr="005A2B1F">
        <w:rPr>
          <w:rFonts w:eastAsia="Calibri"/>
          <w:szCs w:val="24"/>
        </w:rPr>
        <w:t>Šiaulių apskaitos centras</w:t>
      </w:r>
      <w:r w:rsidR="005A2B1F">
        <w:rPr>
          <w:rFonts w:eastAsia="Calibri"/>
          <w:szCs w:val="24"/>
        </w:rPr>
        <w:t>.</w:t>
      </w:r>
    </w:p>
    <w:p w14:paraId="45A61F30" w14:textId="77777777" w:rsidR="009972FA" w:rsidRPr="005A2B1F" w:rsidRDefault="009972FA">
      <w:pPr>
        <w:jc w:val="both"/>
        <w:rPr>
          <w:szCs w:val="24"/>
          <w:lang w:eastAsia="lt-LT"/>
        </w:rPr>
      </w:pPr>
    </w:p>
    <w:p w14:paraId="11074729" w14:textId="77777777" w:rsidR="009972FA" w:rsidRPr="005A2B1F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5A2B1F">
        <w:rPr>
          <w:b/>
          <w:caps/>
          <w:szCs w:val="24"/>
          <w:lang w:eastAsia="lt-LT"/>
        </w:rPr>
        <w:t>II skyrius</w:t>
      </w:r>
    </w:p>
    <w:p w14:paraId="5F41B7C0" w14:textId="77777777" w:rsidR="009972FA" w:rsidRPr="005A2B1F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5A2B1F">
        <w:rPr>
          <w:b/>
          <w:caps/>
          <w:szCs w:val="24"/>
          <w:lang w:eastAsia="lt-LT"/>
        </w:rPr>
        <w:t>Apskaitos politika</w:t>
      </w:r>
    </w:p>
    <w:p w14:paraId="77332201" w14:textId="77777777" w:rsidR="009972FA" w:rsidRPr="005A2B1F" w:rsidRDefault="009972FA" w:rsidP="001069B4">
      <w:pPr>
        <w:ind w:firstLine="993"/>
        <w:jc w:val="center"/>
        <w:rPr>
          <w:b/>
          <w:szCs w:val="24"/>
          <w:lang w:eastAsia="lt-LT"/>
        </w:rPr>
      </w:pPr>
    </w:p>
    <w:p w14:paraId="7FAC77B8" w14:textId="77777777" w:rsidR="001069B4" w:rsidRPr="005A2B1F" w:rsidRDefault="001069B4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Sudarant biudžeto vykdymo ataskaitų rinkinį, vadovaujamasi šiais bendraisiais apskaitos principais:</w:t>
      </w:r>
    </w:p>
    <w:p w14:paraId="1679DBB0" w14:textId="77777777" w:rsidR="001069B4" w:rsidRPr="005A2B1F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pinigų – išlaidos pripažįstamos tik tada, kada išmokami pinigai, o pajamos pripažįstamos tada, kada gaunami pinigai;</w:t>
      </w:r>
    </w:p>
    <w:p w14:paraId="5BED9C91" w14:textId="77777777" w:rsidR="001069B4" w:rsidRPr="005A2B1F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subjekto – įstaiga yra laikoma atskiru apskaitos vienetu;</w:t>
      </w:r>
    </w:p>
    <w:p w14:paraId="459C5844" w14:textId="77777777" w:rsidR="001069B4" w:rsidRPr="005A2B1F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periodiškumo – yra sudaromas, ketvirtinis biudžeto ataskaitų rinkinys ir metinis biudžeto ataskaitų rinkinys;</w:t>
      </w:r>
    </w:p>
    <w:p w14:paraId="19F310A2" w14:textId="77777777" w:rsidR="001069B4" w:rsidRPr="005A2B1F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pastovumo - apskaitos metodai keičiami tik tuomet, kai siekiama teisingiau parodyti biudžetinių lėšų gavimą ir išlaidas. Nesant svarios priežasties apskaitos metodų keitimui, metodai naudojami ilgą laiką;</w:t>
      </w:r>
    </w:p>
    <w:p w14:paraId="1CD1C7DB" w14:textId="77777777" w:rsidR="001069B4" w:rsidRPr="005A2B1F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piniginio mato - duomenys apie gautas ir išleistas lėšas biudžeto ataskaitose pateikiami pinigine išraiška.</w:t>
      </w:r>
    </w:p>
    <w:p w14:paraId="36ECEE75" w14:textId="77777777" w:rsidR="009972FA" w:rsidRPr="00F67EA0" w:rsidRDefault="009972FA">
      <w:pPr>
        <w:rPr>
          <w:sz w:val="20"/>
          <w:lang w:eastAsia="lt-LT"/>
        </w:rPr>
      </w:pPr>
    </w:p>
    <w:p w14:paraId="3A84C670" w14:textId="77777777" w:rsidR="009972FA" w:rsidRPr="00F67EA0" w:rsidRDefault="008D0018" w:rsidP="005A2B1F">
      <w:pPr>
        <w:jc w:val="center"/>
        <w:rPr>
          <w:b/>
          <w:szCs w:val="24"/>
          <w:lang w:eastAsia="lt-LT"/>
        </w:rPr>
      </w:pPr>
      <w:r w:rsidRPr="00F67EA0">
        <w:rPr>
          <w:b/>
          <w:szCs w:val="24"/>
          <w:lang w:eastAsia="lt-LT"/>
        </w:rPr>
        <w:t>III SKYRIUS</w:t>
      </w:r>
    </w:p>
    <w:p w14:paraId="12BD788D" w14:textId="77777777" w:rsidR="009972FA" w:rsidRPr="00F67EA0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F67EA0">
        <w:rPr>
          <w:b/>
          <w:szCs w:val="24"/>
          <w:lang w:eastAsia="lt-LT"/>
        </w:rPr>
        <w:t>BIUDŽETINIŲ ĮSTAIGŲ PAJAMŲ PLANO VYKDYMAS</w:t>
      </w:r>
    </w:p>
    <w:p w14:paraId="09C6861A" w14:textId="77777777" w:rsidR="009972FA" w:rsidRPr="00F67EA0" w:rsidRDefault="009972FA">
      <w:pPr>
        <w:jc w:val="center"/>
        <w:rPr>
          <w:b/>
          <w:sz w:val="22"/>
          <w:szCs w:val="22"/>
          <w:lang w:eastAsia="lt-LT"/>
        </w:rPr>
      </w:pPr>
    </w:p>
    <w:p w14:paraId="201354DC" w14:textId="77777777" w:rsidR="001069B4" w:rsidRPr="00F67EA0" w:rsidRDefault="001069B4" w:rsidP="001069B4">
      <w:pPr>
        <w:tabs>
          <w:tab w:val="left" w:pos="426"/>
        </w:tabs>
        <w:ind w:firstLine="993"/>
        <w:jc w:val="both"/>
        <w:rPr>
          <w:szCs w:val="24"/>
          <w:lang w:eastAsia="lt-LT"/>
        </w:rPr>
      </w:pPr>
      <w:r w:rsidRPr="00F67EA0">
        <w:rPr>
          <w:szCs w:val="24"/>
          <w:lang w:eastAsia="lt-LT"/>
        </w:rPr>
        <w:t>Informacij</w:t>
      </w:r>
      <w:r w:rsidR="00E94036" w:rsidRPr="00F67EA0">
        <w:rPr>
          <w:szCs w:val="24"/>
          <w:lang w:eastAsia="lt-LT"/>
        </w:rPr>
        <w:t>a</w:t>
      </w:r>
      <w:r w:rsidRPr="00F67EA0">
        <w:rPr>
          <w:szCs w:val="24"/>
          <w:lang w:eastAsia="lt-LT"/>
        </w:rPr>
        <w:t xml:space="preserve"> apie biudžetinių įstaigų pajamas pagal 20</w:t>
      </w:r>
      <w:r w:rsidR="00C27508" w:rsidRPr="00F67EA0">
        <w:rPr>
          <w:szCs w:val="24"/>
          <w:lang w:eastAsia="lt-LT"/>
        </w:rPr>
        <w:t>25</w:t>
      </w:r>
      <w:r w:rsidRPr="00F67EA0">
        <w:rPr>
          <w:szCs w:val="24"/>
          <w:lang w:eastAsia="lt-LT"/>
        </w:rPr>
        <w:t xml:space="preserve"> m. </w:t>
      </w:r>
      <w:r w:rsidR="00C13ABD">
        <w:rPr>
          <w:szCs w:val="24"/>
          <w:lang w:eastAsia="lt-LT"/>
        </w:rPr>
        <w:t>rugsėjo</w:t>
      </w:r>
      <w:r w:rsidR="00C27508" w:rsidRPr="00F67EA0">
        <w:rPr>
          <w:szCs w:val="24"/>
          <w:lang w:eastAsia="lt-LT"/>
        </w:rPr>
        <w:t xml:space="preserve"> 3</w:t>
      </w:r>
      <w:r w:rsidR="00C13ABD">
        <w:rPr>
          <w:szCs w:val="24"/>
          <w:lang w:eastAsia="lt-LT"/>
        </w:rPr>
        <w:t>0</w:t>
      </w:r>
      <w:r w:rsidRPr="00F67EA0">
        <w:rPr>
          <w:szCs w:val="24"/>
          <w:lang w:eastAsia="lt-LT"/>
        </w:rPr>
        <w:t xml:space="preserve"> d. duomenis</w:t>
      </w:r>
      <w:r w:rsidR="00E94036" w:rsidRPr="00F67EA0">
        <w:rPr>
          <w:szCs w:val="24"/>
          <w:lang w:eastAsia="lt-LT"/>
        </w:rPr>
        <w:t xml:space="preserve"> yra pateikiama</w:t>
      </w:r>
      <w:r w:rsidRPr="00F67EA0">
        <w:rPr>
          <w:szCs w:val="24"/>
          <w:lang w:eastAsia="lt-LT"/>
        </w:rPr>
        <w:t xml:space="preserve"> form</w:t>
      </w:r>
      <w:r w:rsidR="00E94036" w:rsidRPr="00F67EA0">
        <w:rPr>
          <w:szCs w:val="24"/>
          <w:lang w:eastAsia="lt-LT"/>
        </w:rPr>
        <w:t>oje</w:t>
      </w:r>
      <w:r w:rsidRPr="00F67EA0">
        <w:rPr>
          <w:szCs w:val="24"/>
          <w:lang w:eastAsia="lt-LT"/>
        </w:rPr>
        <w:t xml:space="preserve"> Nr. 1</w:t>
      </w:r>
      <w:r w:rsidR="00E94036" w:rsidRPr="00F67EA0">
        <w:rPr>
          <w:szCs w:val="24"/>
          <w:lang w:eastAsia="lt-LT"/>
        </w:rPr>
        <w:t xml:space="preserve"> (Biudžeto vykdymo ataskaitų rinkinių rengimo taisyklių 3 priedas).</w:t>
      </w:r>
    </w:p>
    <w:p w14:paraId="20AB455B" w14:textId="77777777" w:rsidR="001069B4" w:rsidRPr="00F67EA0" w:rsidRDefault="001069B4" w:rsidP="001069B4">
      <w:pPr>
        <w:ind w:firstLine="993"/>
        <w:jc w:val="both"/>
      </w:pPr>
      <w:r w:rsidRPr="00F67EA0">
        <w:t>Įstaigos gaunamų pajamų plano ataskaitiniam laikotarpiui vykdymas / nevykdymas ir priežastys pagal pajamų rūšį.</w:t>
      </w:r>
    </w:p>
    <w:p w14:paraId="659067D5" w14:textId="77777777" w:rsidR="001069B4" w:rsidRDefault="001069B4" w:rsidP="001069B4">
      <w:pPr>
        <w:widowControl w:val="0"/>
        <w:ind w:left="5040" w:firstLine="720"/>
        <w:jc w:val="right"/>
        <w:outlineLvl w:val="0"/>
        <w:rPr>
          <w:sz w:val="20"/>
        </w:rPr>
      </w:pPr>
      <w:r w:rsidRPr="005A2B1F">
        <w:rPr>
          <w:sz w:val="20"/>
        </w:rPr>
        <w:t>(Tikslumas – eurai, ct)</w:t>
      </w:r>
    </w:p>
    <w:p w14:paraId="6FEC43EC" w14:textId="77777777" w:rsidR="00303668" w:rsidRPr="005A2B1F" w:rsidRDefault="00303668" w:rsidP="001069B4">
      <w:pPr>
        <w:widowControl w:val="0"/>
        <w:ind w:left="5040" w:firstLine="720"/>
        <w:jc w:val="right"/>
        <w:outlineLvl w:val="0"/>
        <w:rPr>
          <w:sz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04"/>
        <w:gridCol w:w="4824"/>
      </w:tblGrid>
      <w:tr w:rsidR="00F67EA0" w:rsidRPr="00F67EA0" w14:paraId="4D0731E4" w14:textId="77777777" w:rsidTr="0006214E">
        <w:tc>
          <w:tcPr>
            <w:tcW w:w="4957" w:type="dxa"/>
          </w:tcPr>
          <w:p w14:paraId="55F6A400" w14:textId="77777777" w:rsidR="001069B4" w:rsidRPr="00F67EA0" w:rsidRDefault="00323B61" w:rsidP="001069B4">
            <w:pPr>
              <w:widowControl w:val="0"/>
              <w:jc w:val="both"/>
              <w:outlineLvl w:val="0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F67EA0">
              <w:rPr>
                <w:rFonts w:ascii="Times New Roman" w:hAnsi="Times New Roman"/>
                <w:sz w:val="24"/>
                <w:szCs w:val="24"/>
                <w:lang w:val="lt-LT"/>
              </w:rPr>
              <w:t>Lėšų šaltinis</w:t>
            </w:r>
          </w:p>
        </w:tc>
        <w:tc>
          <w:tcPr>
            <w:tcW w:w="4961" w:type="dxa"/>
          </w:tcPr>
          <w:p w14:paraId="71FE8A29" w14:textId="77777777" w:rsidR="001069B4" w:rsidRPr="00F67EA0" w:rsidRDefault="001069B4" w:rsidP="001069B4">
            <w:pPr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Plano </w:t>
            </w:r>
            <w:r w:rsidR="00323B61" w:rsidRPr="00F67EA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vykdymo / </w:t>
            </w:r>
            <w:r w:rsidRPr="00F67EA0">
              <w:rPr>
                <w:rFonts w:ascii="Times New Roman" w:hAnsi="Times New Roman"/>
                <w:sz w:val="24"/>
                <w:szCs w:val="24"/>
                <w:lang w:val="lt-LT"/>
              </w:rPr>
              <w:t>nevykdymo priežastys</w:t>
            </w:r>
          </w:p>
        </w:tc>
      </w:tr>
      <w:tr w:rsidR="00F67EA0" w:rsidRPr="00F67EA0" w14:paraId="271B7DB5" w14:textId="77777777" w:rsidTr="0006214E">
        <w:tc>
          <w:tcPr>
            <w:tcW w:w="4957" w:type="dxa"/>
          </w:tcPr>
          <w:p w14:paraId="2811E05B" w14:textId="77777777" w:rsidR="001069B4" w:rsidRPr="00F67EA0" w:rsidRDefault="001069B4" w:rsidP="001069B4">
            <w:pPr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32 </w:t>
            </w:r>
          </w:p>
        </w:tc>
        <w:tc>
          <w:tcPr>
            <w:tcW w:w="4961" w:type="dxa"/>
          </w:tcPr>
          <w:p w14:paraId="50D8C572" w14:textId="77777777" w:rsidR="001069B4" w:rsidRPr="00F67EA0" w:rsidRDefault="00870286" w:rsidP="00C13ABD">
            <w:pPr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Suplanuota 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75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="00C53853">
              <w:rPr>
                <w:rFonts w:ascii="Times New Roman" w:hAnsi="Times New Roman"/>
                <w:sz w:val="24"/>
                <w:szCs w:val="24"/>
                <w:lang w:val="lt-LT"/>
              </w:rPr>
              <w:t>00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,00</w:t>
            </w:r>
            <w:r w:rsidR="004F273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surinkta 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139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0E0981">
              <w:rPr>
                <w:rFonts w:ascii="Times New Roman" w:hAnsi="Times New Roman"/>
                <w:sz w:val="24"/>
                <w:szCs w:val="24"/>
                <w:lang w:val="lt-LT"/>
              </w:rPr>
              <w:t>00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,00</w:t>
            </w:r>
            <w:r w:rsidR="004F273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planas viršytas 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63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00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Eur., Buvo gauta daugiau įmokų už </w:t>
            </w:r>
            <w:r w:rsidR="00C53853">
              <w:rPr>
                <w:rFonts w:ascii="Times New Roman" w:hAnsi="Times New Roman"/>
                <w:sz w:val="24"/>
                <w:szCs w:val="24"/>
                <w:lang w:val="lt-LT"/>
              </w:rPr>
              <w:t>teikiamas įstaigos paslaugas.</w:t>
            </w:r>
          </w:p>
        </w:tc>
      </w:tr>
      <w:tr w:rsidR="00F67EA0" w:rsidRPr="00F67EA0" w14:paraId="6759DDF9" w14:textId="77777777" w:rsidTr="0006214E">
        <w:tc>
          <w:tcPr>
            <w:tcW w:w="4957" w:type="dxa"/>
          </w:tcPr>
          <w:p w14:paraId="64B253AE" w14:textId="77777777" w:rsidR="001069B4" w:rsidRPr="00F67EA0" w:rsidRDefault="001069B4" w:rsidP="001069B4">
            <w:pPr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33 </w:t>
            </w:r>
          </w:p>
        </w:tc>
        <w:tc>
          <w:tcPr>
            <w:tcW w:w="4961" w:type="dxa"/>
          </w:tcPr>
          <w:p w14:paraId="28412CA1" w14:textId="77777777" w:rsidR="001069B4" w:rsidRPr="00F67EA0" w:rsidRDefault="000E0981" w:rsidP="00C13ABD">
            <w:pPr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Suplanuota 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442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116C3D">
              <w:rPr>
                <w:rFonts w:ascii="Times New Roman" w:hAnsi="Times New Roman"/>
                <w:sz w:val="24"/>
                <w:szCs w:val="24"/>
                <w:lang w:val="lt-LT"/>
              </w:rPr>
              <w:t>00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,00</w:t>
            </w:r>
            <w:r w:rsidR="004F273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surinkta 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579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00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,00</w:t>
            </w:r>
            <w:r w:rsidR="004F273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C538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surinkta </w:t>
            </w:r>
            <w:r w:rsidR="00116C3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36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  <w:r w:rsidR="00C13ABD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="00C53853">
              <w:rPr>
                <w:rFonts w:ascii="Times New Roman" w:hAnsi="Times New Roman"/>
                <w:sz w:val="24"/>
                <w:szCs w:val="24"/>
                <w:lang w:val="lt-LT"/>
              </w:rPr>
              <w:t>00</w:t>
            </w:r>
            <w:r w:rsidR="00E921FB">
              <w:rPr>
                <w:rFonts w:ascii="Times New Roman" w:hAnsi="Times New Roman"/>
                <w:sz w:val="24"/>
                <w:szCs w:val="24"/>
                <w:lang w:val="lt-LT"/>
              </w:rPr>
              <w:t>,00</w:t>
            </w:r>
            <w:r w:rsidR="004F273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</w:t>
            </w:r>
            <w:r w:rsidR="00C538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daugiau įmokų. Daugiau gyventojų atsiskaitė už paslaugas.</w:t>
            </w:r>
          </w:p>
        </w:tc>
      </w:tr>
    </w:tbl>
    <w:p w14:paraId="7DA59037" w14:textId="77777777" w:rsidR="001069B4" w:rsidRPr="00F67EA0" w:rsidRDefault="001069B4" w:rsidP="001069B4">
      <w:pPr>
        <w:widowControl w:val="0"/>
        <w:jc w:val="both"/>
        <w:outlineLvl w:val="0"/>
        <w:rPr>
          <w:szCs w:val="24"/>
        </w:rPr>
      </w:pPr>
    </w:p>
    <w:p w14:paraId="539A8A5C" w14:textId="77777777" w:rsidR="009972FA" w:rsidRPr="00F67EA0" w:rsidRDefault="008D0018">
      <w:pPr>
        <w:tabs>
          <w:tab w:val="left" w:pos="426"/>
        </w:tabs>
        <w:jc w:val="center"/>
        <w:rPr>
          <w:szCs w:val="24"/>
          <w:lang w:eastAsia="lt-LT"/>
        </w:rPr>
      </w:pPr>
      <w:r w:rsidRPr="00F67EA0">
        <w:rPr>
          <w:b/>
          <w:szCs w:val="24"/>
          <w:lang w:eastAsia="lt-LT"/>
        </w:rPr>
        <w:t>IV</w:t>
      </w:r>
      <w:r w:rsidRPr="00F67EA0">
        <w:rPr>
          <w:szCs w:val="24"/>
          <w:lang w:eastAsia="lt-LT"/>
        </w:rPr>
        <w:t xml:space="preserve"> </w:t>
      </w:r>
      <w:r w:rsidRPr="00F67EA0">
        <w:rPr>
          <w:b/>
          <w:szCs w:val="24"/>
          <w:lang w:eastAsia="lt-LT"/>
        </w:rPr>
        <w:t>SKYRIUS</w:t>
      </w:r>
    </w:p>
    <w:p w14:paraId="6ABAD957" w14:textId="77777777" w:rsidR="009972FA" w:rsidRPr="00F67EA0" w:rsidRDefault="008D0018">
      <w:pPr>
        <w:jc w:val="center"/>
        <w:rPr>
          <w:b/>
          <w:szCs w:val="24"/>
          <w:lang w:eastAsia="lt-LT"/>
        </w:rPr>
      </w:pPr>
      <w:r w:rsidRPr="00F67EA0">
        <w:rPr>
          <w:b/>
          <w:szCs w:val="24"/>
          <w:lang w:eastAsia="lt-LT"/>
        </w:rPr>
        <w:t>BIUDŽETO IŠLAIDŲ PLANO VYKDYMAS</w:t>
      </w:r>
    </w:p>
    <w:p w14:paraId="1D30CA5B" w14:textId="77777777" w:rsidR="009972FA" w:rsidRPr="00F67EA0" w:rsidRDefault="009972FA">
      <w:pPr>
        <w:tabs>
          <w:tab w:val="left" w:pos="540"/>
        </w:tabs>
        <w:jc w:val="center"/>
        <w:rPr>
          <w:b/>
          <w:i/>
          <w:iCs/>
          <w:szCs w:val="24"/>
          <w:lang w:eastAsia="lt-LT"/>
        </w:rPr>
      </w:pPr>
    </w:p>
    <w:p w14:paraId="73CFC02D" w14:textId="77777777" w:rsidR="005A2B1F" w:rsidRDefault="004B7965" w:rsidP="00E769C6">
      <w:pPr>
        <w:ind w:firstLine="993"/>
      </w:pPr>
      <w:r w:rsidRPr="00F67EA0">
        <w:t xml:space="preserve">1. </w:t>
      </w:r>
      <w:r w:rsidR="00E769C6" w:rsidRPr="00F67EA0">
        <w:t>Biudžeto asignavimų nepanaudojimo priežastys</w:t>
      </w:r>
      <w:r w:rsidR="005A2B1F">
        <w:t>.</w:t>
      </w:r>
      <w:r w:rsidR="00E769C6" w:rsidRPr="00F67EA0">
        <w:t xml:space="preserve"> </w:t>
      </w:r>
      <w:r w:rsidR="00E769C6" w:rsidRPr="00F67EA0">
        <w:tab/>
        <w:t xml:space="preserve">             </w:t>
      </w:r>
    </w:p>
    <w:p w14:paraId="040C6441" w14:textId="77777777" w:rsidR="004B7965" w:rsidRPr="00F67EA0" w:rsidRDefault="004B7965" w:rsidP="005A2B1F">
      <w:pPr>
        <w:ind w:left="5192" w:firstLine="1298"/>
        <w:jc w:val="right"/>
        <w:rPr>
          <w:sz w:val="20"/>
        </w:rPr>
      </w:pPr>
      <w:r w:rsidRPr="00F67EA0">
        <w:rPr>
          <w:sz w:val="20"/>
        </w:rPr>
        <w:t>(Reikšminga suma – 2000 €)</w:t>
      </w:r>
    </w:p>
    <w:p w14:paraId="6A6EC649" w14:textId="77777777" w:rsidR="004B7965" w:rsidRDefault="004B7965" w:rsidP="00E769C6">
      <w:pPr>
        <w:widowControl w:val="0"/>
        <w:ind w:left="6490" w:firstLine="1298"/>
        <w:jc w:val="center"/>
        <w:outlineLvl w:val="0"/>
        <w:rPr>
          <w:sz w:val="20"/>
        </w:rPr>
      </w:pPr>
      <w:r w:rsidRPr="00F67EA0">
        <w:rPr>
          <w:sz w:val="20"/>
        </w:rPr>
        <w:t>(Tikslumas – eurai, ct)</w:t>
      </w:r>
    </w:p>
    <w:p w14:paraId="36B9D2F6" w14:textId="77777777" w:rsidR="005A2B1F" w:rsidRPr="00F67EA0" w:rsidRDefault="005A2B1F" w:rsidP="00E769C6">
      <w:pPr>
        <w:widowControl w:val="0"/>
        <w:ind w:left="6490" w:firstLine="1298"/>
        <w:jc w:val="center"/>
        <w:outlineLvl w:val="0"/>
        <w:rPr>
          <w:b/>
          <w:bCs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4"/>
        <w:gridCol w:w="1361"/>
        <w:gridCol w:w="1323"/>
        <w:gridCol w:w="6100"/>
      </w:tblGrid>
      <w:tr w:rsidR="00F67EA0" w:rsidRPr="00F67EA0" w14:paraId="7B05F9F6" w14:textId="77777777" w:rsidTr="003E4F1B">
        <w:trPr>
          <w:tblHeader/>
        </w:trPr>
        <w:tc>
          <w:tcPr>
            <w:tcW w:w="844" w:type="dxa"/>
            <w:vAlign w:val="center"/>
          </w:tcPr>
          <w:p w14:paraId="11DEE530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Lėšų šaltinis</w:t>
            </w:r>
          </w:p>
        </w:tc>
        <w:tc>
          <w:tcPr>
            <w:tcW w:w="1361" w:type="dxa"/>
            <w:vAlign w:val="center"/>
          </w:tcPr>
          <w:p w14:paraId="2F0B104C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Nepanaudota patvirtintų išlaidų suma iš viso</w:t>
            </w:r>
          </w:p>
        </w:tc>
        <w:tc>
          <w:tcPr>
            <w:tcW w:w="1323" w:type="dxa"/>
            <w:vAlign w:val="center"/>
          </w:tcPr>
          <w:p w14:paraId="567CED61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Išlaidų straipsnis</w:t>
            </w:r>
          </w:p>
        </w:tc>
        <w:tc>
          <w:tcPr>
            <w:tcW w:w="6100" w:type="dxa"/>
            <w:vAlign w:val="center"/>
          </w:tcPr>
          <w:p w14:paraId="11AB7DCE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Nepanaudojimo priežastys</w:t>
            </w:r>
          </w:p>
        </w:tc>
      </w:tr>
      <w:tr w:rsidR="003E4F1B" w:rsidRPr="00F67EA0" w14:paraId="2FA3A9C1" w14:textId="77777777" w:rsidTr="003E4F1B">
        <w:trPr>
          <w:trHeight w:val="304"/>
        </w:trPr>
        <w:tc>
          <w:tcPr>
            <w:tcW w:w="844" w:type="dxa"/>
          </w:tcPr>
          <w:p w14:paraId="2F534010" w14:textId="77777777" w:rsidR="003E4F1B" w:rsidRPr="00F67EA0" w:rsidRDefault="003E4F1B" w:rsidP="003E4F1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151</w:t>
            </w:r>
          </w:p>
        </w:tc>
        <w:tc>
          <w:tcPr>
            <w:tcW w:w="1361" w:type="dxa"/>
          </w:tcPr>
          <w:p w14:paraId="27CD7CA8" w14:textId="77777777" w:rsidR="003E4F1B" w:rsidRPr="00F67EA0" w:rsidRDefault="00C13ABD" w:rsidP="003E4F1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76 911,33</w:t>
            </w:r>
          </w:p>
        </w:tc>
        <w:tc>
          <w:tcPr>
            <w:tcW w:w="1323" w:type="dxa"/>
          </w:tcPr>
          <w:p w14:paraId="11340084" w14:textId="77777777" w:rsidR="003E4F1B" w:rsidRPr="00F67EA0" w:rsidRDefault="003E4F1B" w:rsidP="003E4F1B">
            <w:pPr>
              <w:widowControl w:val="0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2.2.1.1.1.20</w:t>
            </w:r>
          </w:p>
        </w:tc>
        <w:tc>
          <w:tcPr>
            <w:tcW w:w="6100" w:type="dxa"/>
          </w:tcPr>
          <w:p w14:paraId="1304865F" w14:textId="77777777" w:rsidR="003E4F1B" w:rsidRPr="003E4F1B" w:rsidRDefault="003E4F1B" w:rsidP="003E4F1B">
            <w:pPr>
              <w:rPr>
                <w:rFonts w:ascii="Times New Roman" w:hAnsi="Times New Roman"/>
                <w:szCs w:val="24"/>
                <w:lang w:val="lt-LT"/>
              </w:rPr>
            </w:pPr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Išlaidų komunalinėms paslaugos likutis susidarė, nes faktinės sąnaudos mažesnės už planuotas. </w:t>
            </w:r>
            <w:r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(Įstaigos paaiškinimas)</w:t>
            </w:r>
          </w:p>
        </w:tc>
      </w:tr>
      <w:tr w:rsidR="003E4F1B" w:rsidRPr="00F67EA0" w14:paraId="5D9C4817" w14:textId="77777777" w:rsidTr="003E4F1B">
        <w:trPr>
          <w:trHeight w:val="304"/>
        </w:trPr>
        <w:tc>
          <w:tcPr>
            <w:tcW w:w="844" w:type="dxa"/>
          </w:tcPr>
          <w:p w14:paraId="34B41047" w14:textId="77777777" w:rsidR="003E4F1B" w:rsidRPr="00F67EA0" w:rsidRDefault="003E4F1B" w:rsidP="003E4F1B">
            <w:pPr>
              <w:widowControl w:val="0"/>
              <w:jc w:val="center"/>
              <w:outlineLv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151</w:t>
            </w:r>
          </w:p>
        </w:tc>
        <w:tc>
          <w:tcPr>
            <w:tcW w:w="1361" w:type="dxa"/>
          </w:tcPr>
          <w:p w14:paraId="7AE15259" w14:textId="77777777" w:rsidR="003E4F1B" w:rsidRPr="00F67EA0" w:rsidRDefault="003E4F1B" w:rsidP="003E4F1B">
            <w:pPr>
              <w:widowControl w:val="0"/>
              <w:jc w:val="center"/>
              <w:outlineLv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22</w:t>
            </w:r>
            <w:r w:rsidR="00E921FB">
              <w:rPr>
                <w:rFonts w:ascii="Times New Roman" w:hAnsi="Times New Roman"/>
                <w:lang w:val="lt-LT"/>
              </w:rPr>
              <w:t> </w:t>
            </w:r>
            <w:r>
              <w:rPr>
                <w:rFonts w:ascii="Times New Roman" w:hAnsi="Times New Roman"/>
                <w:lang w:val="lt-LT"/>
              </w:rPr>
              <w:t>000</w:t>
            </w:r>
            <w:r w:rsidR="00E921FB">
              <w:rPr>
                <w:rFonts w:ascii="Times New Roman" w:hAnsi="Times New Roman"/>
                <w:lang w:val="lt-LT"/>
              </w:rPr>
              <w:t>,00</w:t>
            </w:r>
          </w:p>
        </w:tc>
        <w:tc>
          <w:tcPr>
            <w:tcW w:w="1323" w:type="dxa"/>
          </w:tcPr>
          <w:p w14:paraId="31212961" w14:textId="77777777" w:rsidR="003E4F1B" w:rsidRPr="00F67EA0" w:rsidRDefault="003E4F1B" w:rsidP="003E4F1B">
            <w:pPr>
              <w:widowControl w:val="0"/>
              <w:outlineLv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3.1.1.2.1.3.</w:t>
            </w:r>
          </w:p>
        </w:tc>
        <w:tc>
          <w:tcPr>
            <w:tcW w:w="6100" w:type="dxa"/>
          </w:tcPr>
          <w:p w14:paraId="603D2A41" w14:textId="77777777" w:rsidR="003E4F1B" w:rsidRPr="003E4F1B" w:rsidRDefault="003E4F1B" w:rsidP="003E4F1B">
            <w:pPr>
              <w:rPr>
                <w:rFonts w:ascii="Times New Roman" w:hAnsi="Times New Roman"/>
                <w:color w:val="000000"/>
                <w:szCs w:val="24"/>
                <w:lang w:val="lt-LT" w:eastAsia="lt-LT"/>
              </w:rPr>
            </w:pPr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06-01-11 Įgyvendinti projektą "Socialinės </w:t>
            </w:r>
            <w:proofErr w:type="spellStart"/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įtraukties</w:t>
            </w:r>
            <w:proofErr w:type="spellEnd"/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 ir įgalinimo stiprinimas pažeidžiamoms grupėms per integruotą ir kūrybingą metodiką“</w:t>
            </w:r>
          </w:p>
          <w:p w14:paraId="258AEC69" w14:textId="77777777" w:rsidR="003E4F1B" w:rsidRPr="003E4F1B" w:rsidRDefault="003E4F1B" w:rsidP="003E4F1B">
            <w:pPr>
              <w:rPr>
                <w:rFonts w:ascii="Times New Roman" w:hAnsi="Times New Roman"/>
                <w:szCs w:val="24"/>
                <w:lang w:val="lt-LT"/>
              </w:rPr>
            </w:pPr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Likutis liko, nes nebuvo pradėtas projekto įgyvendinimas kaip buvo planuota. Ilgai užtruko sutarties pasirašymas, todėl projektas buvo pradėtas vykdyti tik II</w:t>
            </w:r>
            <w:r w:rsidR="00C13ABD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I</w:t>
            </w:r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 </w:t>
            </w:r>
            <w:proofErr w:type="spellStart"/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ketv</w:t>
            </w:r>
            <w:proofErr w:type="spellEnd"/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. Šiuo metu vykdomas pirkimas Lauko muzikos instrumentų įsigijimui. </w:t>
            </w:r>
            <w:r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(Įstaigos paaiškinimas)</w:t>
            </w:r>
          </w:p>
        </w:tc>
      </w:tr>
      <w:tr w:rsidR="003E4F1B" w:rsidRPr="00F67EA0" w14:paraId="43EF9556" w14:textId="77777777" w:rsidTr="003E4F1B">
        <w:trPr>
          <w:trHeight w:val="304"/>
        </w:trPr>
        <w:tc>
          <w:tcPr>
            <w:tcW w:w="844" w:type="dxa"/>
          </w:tcPr>
          <w:p w14:paraId="4F86934A" w14:textId="77777777" w:rsidR="003E4F1B" w:rsidRPr="00F67EA0" w:rsidRDefault="00C13ABD" w:rsidP="003E4F1B">
            <w:pPr>
              <w:widowControl w:val="0"/>
              <w:jc w:val="center"/>
              <w:outlineLv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151</w:t>
            </w:r>
          </w:p>
        </w:tc>
        <w:tc>
          <w:tcPr>
            <w:tcW w:w="1361" w:type="dxa"/>
          </w:tcPr>
          <w:p w14:paraId="78CD5E2A" w14:textId="77777777" w:rsidR="003E4F1B" w:rsidRPr="00F67EA0" w:rsidRDefault="00C13ABD" w:rsidP="003E4F1B">
            <w:pPr>
              <w:widowControl w:val="0"/>
              <w:jc w:val="center"/>
              <w:outlineLv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13</w:t>
            </w:r>
            <w:r w:rsidR="00E921FB">
              <w:rPr>
                <w:rFonts w:ascii="Times New Roman" w:hAnsi="Times New Roman"/>
                <w:lang w:val="lt-LT"/>
              </w:rPr>
              <w:t> </w:t>
            </w:r>
            <w:r>
              <w:rPr>
                <w:rFonts w:ascii="Times New Roman" w:hAnsi="Times New Roman"/>
                <w:lang w:val="lt-LT"/>
              </w:rPr>
              <w:t>500</w:t>
            </w:r>
            <w:r w:rsidR="00E921FB">
              <w:rPr>
                <w:rFonts w:ascii="Times New Roman" w:hAnsi="Times New Roman"/>
                <w:lang w:val="lt-LT"/>
              </w:rPr>
              <w:t>,00</w:t>
            </w:r>
          </w:p>
        </w:tc>
        <w:tc>
          <w:tcPr>
            <w:tcW w:w="1323" w:type="dxa"/>
          </w:tcPr>
          <w:p w14:paraId="79A25AC1" w14:textId="77777777" w:rsidR="003E4F1B" w:rsidRPr="00F67EA0" w:rsidRDefault="00C13ABD" w:rsidP="003E4F1B">
            <w:pPr>
              <w:widowControl w:val="0"/>
              <w:outlineLvl w:val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2.2.1.1.1.16</w:t>
            </w:r>
          </w:p>
        </w:tc>
        <w:tc>
          <w:tcPr>
            <w:tcW w:w="6100" w:type="dxa"/>
          </w:tcPr>
          <w:p w14:paraId="648094B9" w14:textId="77777777" w:rsidR="00C13ABD" w:rsidRPr="003E4F1B" w:rsidRDefault="00C13ABD" w:rsidP="00C13ABD">
            <w:pPr>
              <w:rPr>
                <w:rFonts w:ascii="Times New Roman" w:hAnsi="Times New Roman"/>
                <w:color w:val="000000"/>
                <w:szCs w:val="24"/>
                <w:lang w:val="lt-LT" w:eastAsia="lt-LT"/>
              </w:rPr>
            </w:pPr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06-01-11 Įgyvendinti projektą "Socialinės </w:t>
            </w:r>
            <w:proofErr w:type="spellStart"/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įtraukties</w:t>
            </w:r>
            <w:proofErr w:type="spellEnd"/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 ir įgalinimo stiprinimas pažeidžiamoms grupėms per integruotą ir kūrybingą metodiką“</w:t>
            </w:r>
            <w:r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, neįvyko mokymai.</w:t>
            </w:r>
          </w:p>
          <w:p w14:paraId="33D66BBA" w14:textId="77777777" w:rsidR="003E4F1B" w:rsidRPr="00F67EA0" w:rsidRDefault="003E4F1B" w:rsidP="003E4F1B">
            <w:pPr>
              <w:widowControl w:val="0"/>
              <w:outlineLvl w:val="0"/>
              <w:rPr>
                <w:rFonts w:ascii="Times New Roman" w:hAnsi="Times New Roman"/>
                <w:lang w:val="lt-LT"/>
              </w:rPr>
            </w:pPr>
          </w:p>
        </w:tc>
      </w:tr>
      <w:tr w:rsidR="00C13ABD" w:rsidRPr="00F67EA0" w14:paraId="1E48742B" w14:textId="77777777" w:rsidTr="003E4F1B">
        <w:tc>
          <w:tcPr>
            <w:tcW w:w="844" w:type="dxa"/>
          </w:tcPr>
          <w:p w14:paraId="5940EB1E" w14:textId="77777777" w:rsidR="00C13ABD" w:rsidRPr="00F67EA0" w:rsidRDefault="00C13ABD" w:rsidP="00C13AB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151</w:t>
            </w:r>
          </w:p>
        </w:tc>
        <w:tc>
          <w:tcPr>
            <w:tcW w:w="1361" w:type="dxa"/>
          </w:tcPr>
          <w:p w14:paraId="2A88C6CD" w14:textId="77777777" w:rsidR="00C13ABD" w:rsidRPr="00F67EA0" w:rsidRDefault="00C13ABD" w:rsidP="00C13AB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2</w:t>
            </w:r>
            <w:r w:rsidR="00E921FB">
              <w:rPr>
                <w:rFonts w:ascii="Times New Roman" w:eastAsia="Times New Roman" w:hAnsi="Times New Roman"/>
                <w:szCs w:val="20"/>
                <w:lang w:val="lt-LT"/>
              </w:rPr>
              <w:t> </w:t>
            </w:r>
            <w:r>
              <w:rPr>
                <w:rFonts w:ascii="Times New Roman" w:eastAsia="Times New Roman" w:hAnsi="Times New Roman"/>
                <w:szCs w:val="20"/>
                <w:lang w:val="lt-LT"/>
              </w:rPr>
              <w:t>944</w:t>
            </w:r>
            <w:r w:rsidR="00E921FB">
              <w:rPr>
                <w:rFonts w:ascii="Times New Roman" w:eastAsia="Times New Roman" w:hAnsi="Times New Roman"/>
                <w:szCs w:val="20"/>
                <w:lang w:val="lt-LT"/>
              </w:rPr>
              <w:t>,00</w:t>
            </w:r>
          </w:p>
        </w:tc>
        <w:tc>
          <w:tcPr>
            <w:tcW w:w="1323" w:type="dxa"/>
          </w:tcPr>
          <w:p w14:paraId="5C3F6556" w14:textId="77777777" w:rsidR="00C13ABD" w:rsidRPr="00F67EA0" w:rsidRDefault="00C13ABD" w:rsidP="00C13ABD">
            <w:pPr>
              <w:widowControl w:val="0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2.2.1.1.1.30</w:t>
            </w:r>
          </w:p>
        </w:tc>
        <w:tc>
          <w:tcPr>
            <w:tcW w:w="6100" w:type="dxa"/>
          </w:tcPr>
          <w:p w14:paraId="071F7D4C" w14:textId="77777777" w:rsidR="00C13ABD" w:rsidRPr="003E4F1B" w:rsidRDefault="00C13ABD" w:rsidP="00C13ABD">
            <w:pPr>
              <w:rPr>
                <w:rFonts w:ascii="Times New Roman" w:hAnsi="Times New Roman"/>
                <w:color w:val="000000"/>
                <w:szCs w:val="24"/>
                <w:lang w:val="lt-LT" w:eastAsia="lt-LT"/>
              </w:rPr>
            </w:pPr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06-01-11 Įgyvendinti projektą "Socialinės </w:t>
            </w:r>
            <w:proofErr w:type="spellStart"/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įtraukties</w:t>
            </w:r>
            <w:proofErr w:type="spellEnd"/>
            <w:r w:rsidRPr="003E4F1B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 ir įgalinimo stiprinimas pažeidžiamoms grupėms per integruotą ir kūrybingą metodiką“</w:t>
            </w:r>
            <w:r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, projektas vykdomas, nebuvo sudarytos viešųjų pirkimų sutartys.</w:t>
            </w:r>
          </w:p>
          <w:p w14:paraId="5E16730C" w14:textId="77777777" w:rsidR="00C13ABD" w:rsidRPr="00F67EA0" w:rsidRDefault="00C13ABD" w:rsidP="00C13ABD">
            <w:pPr>
              <w:widowControl w:val="0"/>
              <w:outlineLvl w:val="0"/>
              <w:rPr>
                <w:rFonts w:ascii="Times New Roman" w:hAnsi="Times New Roman"/>
                <w:lang w:val="lt-LT"/>
              </w:rPr>
            </w:pPr>
          </w:p>
        </w:tc>
      </w:tr>
      <w:tr w:rsidR="00C13ABD" w:rsidRPr="00F67EA0" w14:paraId="0F6ACF86" w14:textId="77777777" w:rsidTr="003E4F1B">
        <w:tc>
          <w:tcPr>
            <w:tcW w:w="844" w:type="dxa"/>
          </w:tcPr>
          <w:p w14:paraId="5C9D632C" w14:textId="77777777" w:rsidR="00C13ABD" w:rsidRPr="00F67EA0" w:rsidRDefault="00C13ABD" w:rsidP="00C13ABD">
            <w:pPr>
              <w:widowControl w:val="0"/>
              <w:jc w:val="center"/>
              <w:outlineLvl w:val="0"/>
            </w:pPr>
          </w:p>
        </w:tc>
        <w:tc>
          <w:tcPr>
            <w:tcW w:w="1361" w:type="dxa"/>
          </w:tcPr>
          <w:p w14:paraId="1CF268C0" w14:textId="77777777" w:rsidR="00C13ABD" w:rsidRPr="00F67EA0" w:rsidRDefault="00C13ABD" w:rsidP="00C13ABD">
            <w:pPr>
              <w:widowControl w:val="0"/>
              <w:jc w:val="center"/>
              <w:outlineLvl w:val="0"/>
            </w:pPr>
          </w:p>
        </w:tc>
        <w:tc>
          <w:tcPr>
            <w:tcW w:w="1323" w:type="dxa"/>
          </w:tcPr>
          <w:p w14:paraId="1AA95875" w14:textId="77777777" w:rsidR="00C13ABD" w:rsidRPr="00F67EA0" w:rsidRDefault="00C13ABD" w:rsidP="00C13ABD">
            <w:pPr>
              <w:widowControl w:val="0"/>
              <w:outlineLvl w:val="0"/>
            </w:pPr>
          </w:p>
        </w:tc>
        <w:tc>
          <w:tcPr>
            <w:tcW w:w="6100" w:type="dxa"/>
          </w:tcPr>
          <w:p w14:paraId="6DB337A6" w14:textId="77777777" w:rsidR="00C13ABD" w:rsidRPr="00F67EA0" w:rsidRDefault="00C13ABD" w:rsidP="00C13ABD">
            <w:pPr>
              <w:widowControl w:val="0"/>
              <w:outlineLvl w:val="0"/>
            </w:pPr>
          </w:p>
        </w:tc>
      </w:tr>
    </w:tbl>
    <w:p w14:paraId="0FA7F0AB" w14:textId="77777777" w:rsidR="004B7965" w:rsidRPr="00F67EA0" w:rsidRDefault="004B7965" w:rsidP="004B7965">
      <w:pPr>
        <w:widowControl w:val="0"/>
        <w:ind w:firstLine="993"/>
        <w:jc w:val="both"/>
        <w:outlineLvl w:val="0"/>
        <w:rPr>
          <w:sz w:val="20"/>
        </w:rPr>
      </w:pPr>
    </w:p>
    <w:p w14:paraId="38C8914F" w14:textId="77777777" w:rsidR="004B7965" w:rsidRPr="00F67EA0" w:rsidRDefault="004B7965" w:rsidP="004B7965">
      <w:pPr>
        <w:ind w:firstLine="993"/>
        <w:rPr>
          <w:sz w:val="20"/>
        </w:rPr>
      </w:pPr>
      <w:r w:rsidRPr="00F67EA0">
        <w:t>2. Biudžeto išlaidų sąmatų vykdymas, kai yra viršyti patvirtinti asignavimai.</w:t>
      </w:r>
      <w:r w:rsidRPr="00F67EA0">
        <w:rPr>
          <w:sz w:val="20"/>
        </w:rPr>
        <w:t xml:space="preserve"> </w:t>
      </w:r>
    </w:p>
    <w:p w14:paraId="017B5E97" w14:textId="77777777" w:rsidR="004B7965" w:rsidRPr="00F67EA0" w:rsidRDefault="004B7965" w:rsidP="004B7965">
      <w:pPr>
        <w:widowControl w:val="0"/>
        <w:ind w:firstLine="993"/>
        <w:jc w:val="both"/>
        <w:outlineLvl w:val="0"/>
        <w:rPr>
          <w:sz w:val="20"/>
        </w:rPr>
      </w:pPr>
    </w:p>
    <w:p w14:paraId="74E886FE" w14:textId="77777777" w:rsidR="004B7965" w:rsidRPr="00F67EA0" w:rsidRDefault="004B7965" w:rsidP="004B7965">
      <w:pPr>
        <w:widowControl w:val="0"/>
        <w:jc w:val="right"/>
        <w:outlineLvl w:val="0"/>
        <w:rPr>
          <w:sz w:val="20"/>
        </w:rPr>
      </w:pPr>
      <w:r w:rsidRPr="00F67EA0">
        <w:rPr>
          <w:sz w:val="20"/>
        </w:rPr>
        <w:t>(Reikšminga suma – 100 €)</w:t>
      </w:r>
    </w:p>
    <w:p w14:paraId="178FAAB3" w14:textId="77777777" w:rsidR="004B7965" w:rsidRDefault="004B7965" w:rsidP="004B7965">
      <w:pPr>
        <w:widowControl w:val="0"/>
        <w:jc w:val="right"/>
        <w:outlineLvl w:val="0"/>
        <w:rPr>
          <w:sz w:val="20"/>
        </w:rPr>
      </w:pPr>
      <w:r w:rsidRPr="00F67EA0">
        <w:rPr>
          <w:sz w:val="20"/>
        </w:rPr>
        <w:t>(Tikslumas – eurai, ct)</w:t>
      </w:r>
    </w:p>
    <w:p w14:paraId="7D944DBF" w14:textId="77777777" w:rsidR="005A2B1F" w:rsidRPr="00F67EA0" w:rsidRDefault="005A2B1F" w:rsidP="004B7965">
      <w:pPr>
        <w:widowControl w:val="0"/>
        <w:jc w:val="right"/>
        <w:outlineLvl w:val="0"/>
        <w:rPr>
          <w:b/>
          <w:bCs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4"/>
        <w:gridCol w:w="1345"/>
        <w:gridCol w:w="1326"/>
        <w:gridCol w:w="6113"/>
      </w:tblGrid>
      <w:tr w:rsidR="00F67EA0" w:rsidRPr="00F67EA0" w14:paraId="59861BE1" w14:textId="77777777" w:rsidTr="008C4365">
        <w:trPr>
          <w:tblHeader/>
        </w:trPr>
        <w:tc>
          <w:tcPr>
            <w:tcW w:w="845" w:type="dxa"/>
            <w:vAlign w:val="center"/>
          </w:tcPr>
          <w:p w14:paraId="3D77857C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Lėšų šaltinis</w:t>
            </w:r>
          </w:p>
        </w:tc>
        <w:tc>
          <w:tcPr>
            <w:tcW w:w="1361" w:type="dxa"/>
            <w:vAlign w:val="center"/>
          </w:tcPr>
          <w:p w14:paraId="2D48AB82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Išlaidų straipsnis</w:t>
            </w:r>
          </w:p>
        </w:tc>
        <w:tc>
          <w:tcPr>
            <w:tcW w:w="1333" w:type="dxa"/>
            <w:vAlign w:val="center"/>
          </w:tcPr>
          <w:p w14:paraId="57E85C50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Patvirtintų asignavimų viršyta suma</w:t>
            </w:r>
          </w:p>
        </w:tc>
        <w:tc>
          <w:tcPr>
            <w:tcW w:w="6379" w:type="dxa"/>
            <w:vAlign w:val="center"/>
          </w:tcPr>
          <w:p w14:paraId="082A4AD9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Viršijimo priežastys</w:t>
            </w:r>
          </w:p>
        </w:tc>
      </w:tr>
      <w:tr w:rsidR="004B7965" w:rsidRPr="00F67EA0" w14:paraId="1AE9D12E" w14:textId="77777777" w:rsidTr="008C4365">
        <w:tc>
          <w:tcPr>
            <w:tcW w:w="845" w:type="dxa"/>
            <w:vAlign w:val="center"/>
          </w:tcPr>
          <w:p w14:paraId="08E877A9" w14:textId="77777777" w:rsidR="004B7965" w:rsidRPr="00F67EA0" w:rsidRDefault="00E921FB" w:rsidP="00E921F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-</w:t>
            </w:r>
          </w:p>
        </w:tc>
        <w:tc>
          <w:tcPr>
            <w:tcW w:w="1361" w:type="dxa"/>
            <w:vAlign w:val="center"/>
          </w:tcPr>
          <w:p w14:paraId="5943379B" w14:textId="77777777" w:rsidR="004B7965" w:rsidRPr="00F67EA0" w:rsidRDefault="00E921FB" w:rsidP="00E921F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-</w:t>
            </w:r>
          </w:p>
        </w:tc>
        <w:tc>
          <w:tcPr>
            <w:tcW w:w="1333" w:type="dxa"/>
            <w:vAlign w:val="center"/>
          </w:tcPr>
          <w:p w14:paraId="02B90B68" w14:textId="77777777" w:rsidR="004B7965" w:rsidRPr="00F67EA0" w:rsidRDefault="00E921FB" w:rsidP="00E921F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-</w:t>
            </w:r>
          </w:p>
        </w:tc>
        <w:tc>
          <w:tcPr>
            <w:tcW w:w="6379" w:type="dxa"/>
          </w:tcPr>
          <w:p w14:paraId="0FF73CF2" w14:textId="77777777" w:rsidR="004B7965" w:rsidRPr="00F67EA0" w:rsidRDefault="00E921FB" w:rsidP="00E921F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-</w:t>
            </w:r>
          </w:p>
        </w:tc>
      </w:tr>
    </w:tbl>
    <w:p w14:paraId="170AA436" w14:textId="77777777" w:rsidR="00C27508" w:rsidRPr="00F67EA0" w:rsidRDefault="00C27508" w:rsidP="004B7965">
      <w:pPr>
        <w:widowControl w:val="0"/>
        <w:jc w:val="both"/>
        <w:outlineLvl w:val="0"/>
        <w:rPr>
          <w:b/>
          <w:bCs/>
          <w:szCs w:val="24"/>
        </w:rPr>
      </w:pPr>
    </w:p>
    <w:p w14:paraId="0E4A5E92" w14:textId="77777777" w:rsidR="004B7965" w:rsidRPr="00F67EA0" w:rsidRDefault="004B7965" w:rsidP="004B7965">
      <w:pPr>
        <w:ind w:firstLine="993"/>
      </w:pPr>
      <w:r w:rsidRPr="00F67EA0">
        <w:t xml:space="preserve">3. Pagal paraiškas gauti ir nepanaudoti asignavimai. </w:t>
      </w:r>
    </w:p>
    <w:p w14:paraId="561ACE4B" w14:textId="77777777" w:rsidR="004B7965" w:rsidRPr="00F67EA0" w:rsidRDefault="004B7965" w:rsidP="004B7965">
      <w:pPr>
        <w:widowControl w:val="0"/>
        <w:jc w:val="right"/>
        <w:outlineLvl w:val="0"/>
        <w:rPr>
          <w:sz w:val="20"/>
        </w:rPr>
      </w:pPr>
      <w:bookmarkStart w:id="0" w:name="_Hlk121080642"/>
      <w:r w:rsidRPr="00F67EA0">
        <w:rPr>
          <w:sz w:val="20"/>
        </w:rPr>
        <w:t>(Reikšminga suma – 500 €)</w:t>
      </w:r>
    </w:p>
    <w:p w14:paraId="5D69097B" w14:textId="77777777" w:rsidR="004B7965" w:rsidRPr="00F67EA0" w:rsidRDefault="004B7965" w:rsidP="004B7965">
      <w:pPr>
        <w:widowControl w:val="0"/>
        <w:jc w:val="right"/>
        <w:outlineLvl w:val="0"/>
        <w:rPr>
          <w:b/>
          <w:bCs/>
          <w:szCs w:val="24"/>
        </w:rPr>
      </w:pPr>
      <w:r w:rsidRPr="00F67EA0">
        <w:rPr>
          <w:sz w:val="20"/>
        </w:rPr>
        <w:t>(Tikslumas – eurai, ct)</w:t>
      </w:r>
    </w:p>
    <w:p w14:paraId="219DA5A7" w14:textId="77777777" w:rsidR="004B7965" w:rsidRPr="00F67EA0" w:rsidRDefault="004B7965" w:rsidP="004B7965">
      <w:pPr>
        <w:widowControl w:val="0"/>
        <w:jc w:val="right"/>
        <w:outlineLvl w:val="0"/>
        <w:rPr>
          <w:b/>
          <w:bCs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4"/>
        <w:gridCol w:w="1361"/>
        <w:gridCol w:w="1316"/>
        <w:gridCol w:w="6107"/>
      </w:tblGrid>
      <w:tr w:rsidR="00F67EA0" w:rsidRPr="00F67EA0" w14:paraId="77E049AC" w14:textId="77777777" w:rsidTr="008C4365">
        <w:trPr>
          <w:tblHeader/>
        </w:trPr>
        <w:tc>
          <w:tcPr>
            <w:tcW w:w="845" w:type="dxa"/>
            <w:vAlign w:val="center"/>
          </w:tcPr>
          <w:bookmarkEnd w:id="0"/>
          <w:p w14:paraId="37E8B5B6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Lėšų šaltinis</w:t>
            </w:r>
          </w:p>
        </w:tc>
        <w:tc>
          <w:tcPr>
            <w:tcW w:w="1361" w:type="dxa"/>
            <w:vAlign w:val="center"/>
          </w:tcPr>
          <w:p w14:paraId="758FC9E0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 xml:space="preserve">Nepanaudota gautų  asignavimų suma iš viso </w:t>
            </w:r>
          </w:p>
        </w:tc>
        <w:tc>
          <w:tcPr>
            <w:tcW w:w="1333" w:type="dxa"/>
            <w:vAlign w:val="center"/>
          </w:tcPr>
          <w:p w14:paraId="28409083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Išlaidų straipsnis</w:t>
            </w:r>
          </w:p>
        </w:tc>
        <w:tc>
          <w:tcPr>
            <w:tcW w:w="6379" w:type="dxa"/>
            <w:vAlign w:val="center"/>
          </w:tcPr>
          <w:p w14:paraId="4FF4A810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Nepanaudojimo priežastys</w:t>
            </w:r>
          </w:p>
        </w:tc>
      </w:tr>
      <w:tr w:rsidR="004B7965" w:rsidRPr="00F67EA0" w14:paraId="3B7AB72E" w14:textId="77777777" w:rsidTr="008C4365">
        <w:tc>
          <w:tcPr>
            <w:tcW w:w="845" w:type="dxa"/>
          </w:tcPr>
          <w:p w14:paraId="72773FD8" w14:textId="77777777" w:rsidR="004B7965" w:rsidRPr="00F67EA0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61" w:type="dxa"/>
          </w:tcPr>
          <w:p w14:paraId="63D9451E" w14:textId="77777777" w:rsidR="004B7965" w:rsidRPr="00F67EA0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33" w:type="dxa"/>
          </w:tcPr>
          <w:p w14:paraId="213D6F49" w14:textId="77777777" w:rsidR="004B7965" w:rsidRPr="00F67EA0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6379" w:type="dxa"/>
          </w:tcPr>
          <w:p w14:paraId="4CE2FFC3" w14:textId="77777777" w:rsidR="004B7965" w:rsidRPr="00F67EA0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6DD2234B" w14:textId="77777777" w:rsidR="004B7965" w:rsidRPr="00F67EA0" w:rsidRDefault="004B7965" w:rsidP="004B7965">
      <w:pPr>
        <w:jc w:val="both"/>
        <w:rPr>
          <w:szCs w:val="24"/>
        </w:rPr>
      </w:pPr>
    </w:p>
    <w:p w14:paraId="31A0EE4E" w14:textId="77777777" w:rsidR="00E921FB" w:rsidRDefault="00E921FB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05E2FC22" w14:textId="77777777" w:rsidR="00E921FB" w:rsidRDefault="00E921FB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6FEF5700" w14:textId="77777777" w:rsidR="00E921FB" w:rsidRDefault="00E921FB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4BE9931C" w14:textId="77777777" w:rsidR="009972FA" w:rsidRPr="00F67EA0" w:rsidRDefault="008D001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F67EA0">
        <w:rPr>
          <w:b/>
          <w:bCs/>
          <w:szCs w:val="24"/>
          <w:lang w:eastAsia="lt-LT"/>
        </w:rPr>
        <w:lastRenderedPageBreak/>
        <w:t>V SKYRIUS</w:t>
      </w:r>
    </w:p>
    <w:p w14:paraId="5ABD799A" w14:textId="77777777" w:rsidR="009972FA" w:rsidRPr="00F67EA0" w:rsidRDefault="008D001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F67EA0">
        <w:rPr>
          <w:b/>
          <w:bCs/>
          <w:szCs w:val="24"/>
          <w:lang w:eastAsia="lt-LT"/>
        </w:rPr>
        <w:t>KITA INFORMACIJA</w:t>
      </w:r>
    </w:p>
    <w:p w14:paraId="31EF0062" w14:textId="77777777" w:rsidR="009972FA" w:rsidRPr="00F67EA0" w:rsidRDefault="009972FA">
      <w:pPr>
        <w:tabs>
          <w:tab w:val="left" w:pos="540"/>
        </w:tabs>
        <w:jc w:val="both"/>
        <w:rPr>
          <w:szCs w:val="24"/>
          <w:lang w:eastAsia="lt-LT"/>
        </w:rPr>
      </w:pPr>
    </w:p>
    <w:p w14:paraId="38EE779C" w14:textId="77777777" w:rsidR="004B7965" w:rsidRPr="00F67EA0" w:rsidRDefault="004B7965" w:rsidP="004B7965">
      <w:pPr>
        <w:pStyle w:val="Sraopastraipa"/>
        <w:widowControl w:val="0"/>
        <w:ind w:left="0" w:firstLine="993"/>
        <w:jc w:val="both"/>
        <w:rPr>
          <w:bCs/>
          <w:szCs w:val="24"/>
        </w:rPr>
      </w:pPr>
      <w:r w:rsidRPr="00F67EA0">
        <w:rPr>
          <w:bCs/>
          <w:szCs w:val="24"/>
        </w:rPr>
        <w:t xml:space="preserve">1. </w:t>
      </w:r>
      <w:r w:rsidR="00716DD0" w:rsidRPr="00F67EA0">
        <w:rPr>
          <w:bCs/>
          <w:szCs w:val="24"/>
        </w:rPr>
        <w:t xml:space="preserve">Mokėtinos sumos </w:t>
      </w:r>
      <w:r w:rsidRPr="00F67EA0">
        <w:rPr>
          <w:bCs/>
          <w:szCs w:val="24"/>
        </w:rPr>
        <w:t xml:space="preserve">2025 m. </w:t>
      </w:r>
      <w:r w:rsidR="00DD31F0">
        <w:rPr>
          <w:bCs/>
          <w:szCs w:val="24"/>
        </w:rPr>
        <w:t>rugsėjo</w:t>
      </w:r>
      <w:r w:rsidRPr="00F67EA0">
        <w:rPr>
          <w:bCs/>
          <w:szCs w:val="24"/>
        </w:rPr>
        <w:t xml:space="preserve"> 3</w:t>
      </w:r>
      <w:r w:rsidR="003E4F1B">
        <w:rPr>
          <w:bCs/>
          <w:szCs w:val="24"/>
        </w:rPr>
        <w:t>0</w:t>
      </w:r>
      <w:r w:rsidRPr="00F67EA0">
        <w:rPr>
          <w:bCs/>
          <w:szCs w:val="24"/>
        </w:rPr>
        <w:t xml:space="preserve"> dienai </w:t>
      </w:r>
      <w:r w:rsidR="003E4F1B">
        <w:rPr>
          <w:bCs/>
          <w:szCs w:val="24"/>
        </w:rPr>
        <w:t xml:space="preserve"> </w:t>
      </w:r>
      <w:r w:rsidR="00E921FB">
        <w:rPr>
          <w:bCs/>
          <w:szCs w:val="24"/>
        </w:rPr>
        <w:t>212 398,</w:t>
      </w:r>
      <w:r w:rsidR="00701B83">
        <w:rPr>
          <w:bCs/>
          <w:szCs w:val="24"/>
        </w:rPr>
        <w:t>8</w:t>
      </w:r>
      <w:r w:rsidR="00E921FB">
        <w:rPr>
          <w:bCs/>
          <w:szCs w:val="24"/>
        </w:rPr>
        <w:t>1</w:t>
      </w:r>
      <w:r w:rsidRPr="00F67EA0">
        <w:rPr>
          <w:bCs/>
          <w:szCs w:val="24"/>
        </w:rPr>
        <w:t xml:space="preserve"> €, tame skaičiuje:</w:t>
      </w:r>
    </w:p>
    <w:p w14:paraId="2F6F6481" w14:textId="77777777" w:rsidR="004B7965" w:rsidRDefault="004B7965" w:rsidP="004B7965">
      <w:pPr>
        <w:widowControl w:val="0"/>
        <w:jc w:val="right"/>
        <w:rPr>
          <w:bCs/>
          <w:sz w:val="20"/>
        </w:rPr>
      </w:pPr>
      <w:r w:rsidRPr="00F67EA0">
        <w:rPr>
          <w:bCs/>
          <w:sz w:val="20"/>
        </w:rPr>
        <w:t>(Tikslumas – eurai, ct)</w:t>
      </w:r>
    </w:p>
    <w:p w14:paraId="5F6F719E" w14:textId="77777777" w:rsidR="00547CEA" w:rsidRPr="00F67EA0" w:rsidRDefault="00547CEA" w:rsidP="004B7965">
      <w:pPr>
        <w:widowControl w:val="0"/>
        <w:jc w:val="right"/>
        <w:rPr>
          <w:bCs/>
          <w:sz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22"/>
        <w:gridCol w:w="4570"/>
        <w:gridCol w:w="269"/>
        <w:gridCol w:w="1116"/>
        <w:gridCol w:w="3351"/>
      </w:tblGrid>
      <w:tr w:rsidR="00F67EA0" w:rsidRPr="00E921FB" w14:paraId="2AD88EFA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5166A28C" w14:textId="77777777" w:rsidR="004B7965" w:rsidRPr="00E921FB" w:rsidRDefault="004B7965" w:rsidP="004B7965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  <w:t>Finansavimo šaltinis ir ekonominės klasifikacijos straipsnis</w:t>
            </w:r>
          </w:p>
        </w:tc>
        <w:tc>
          <w:tcPr>
            <w:tcW w:w="269" w:type="dxa"/>
            <w:tcBorders>
              <w:left w:val="nil"/>
            </w:tcBorders>
          </w:tcPr>
          <w:p w14:paraId="6976C121" w14:textId="77777777" w:rsidR="004B7965" w:rsidRPr="00E921FB" w:rsidRDefault="004B7965" w:rsidP="004B7965">
            <w:pPr>
              <w:widowControl w:val="0"/>
              <w:jc w:val="right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0BDBFAE3" w14:textId="77777777" w:rsidR="00716DD0" w:rsidRPr="00E921FB" w:rsidRDefault="00716DD0" w:rsidP="004B796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  <w:t>Suma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11349F86" w14:textId="77777777" w:rsidR="004B7965" w:rsidRPr="00E921FB" w:rsidRDefault="00716DD0" w:rsidP="004B796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  <w:t>Pastaba</w:t>
            </w:r>
          </w:p>
        </w:tc>
      </w:tr>
      <w:tr w:rsidR="00F67EA0" w:rsidRPr="00E921FB" w14:paraId="37985D23" w14:textId="77777777" w:rsidTr="00E921FB">
        <w:trPr>
          <w:trHeight w:val="436"/>
        </w:trPr>
        <w:tc>
          <w:tcPr>
            <w:tcW w:w="4892" w:type="dxa"/>
            <w:gridSpan w:val="2"/>
            <w:tcBorders>
              <w:right w:val="nil"/>
            </w:tcBorders>
          </w:tcPr>
          <w:p w14:paraId="50F1E89B" w14:textId="77777777" w:rsidR="004B7965" w:rsidRPr="00E921FB" w:rsidRDefault="004B7965" w:rsidP="004B7965">
            <w:pPr>
              <w:widowControl w:val="0"/>
              <w:jc w:val="both"/>
              <w:rPr>
                <w:rFonts w:ascii="Times New Roman" w:eastAsia="Times New Roman" w:hAnsi="Times New Roman"/>
                <w:i/>
                <w:iCs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i/>
                <w:iCs/>
                <w:szCs w:val="20"/>
                <w:lang w:val="lt-LT"/>
              </w:rPr>
              <w:t>151 Savivaldybės biudžeto lėšos</w:t>
            </w:r>
          </w:p>
        </w:tc>
        <w:tc>
          <w:tcPr>
            <w:tcW w:w="269" w:type="dxa"/>
            <w:tcBorders>
              <w:left w:val="nil"/>
            </w:tcBorders>
          </w:tcPr>
          <w:p w14:paraId="6B756FB4" w14:textId="77777777" w:rsidR="004B7965" w:rsidRPr="00E921FB" w:rsidRDefault="004B7965" w:rsidP="004B7965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134B2DBA" w14:textId="77777777" w:rsidR="004B7965" w:rsidRPr="00E921FB" w:rsidRDefault="00DD31F0" w:rsidP="004B7965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152 552,10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4625EA3F" w14:textId="77777777" w:rsidR="004B7965" w:rsidRPr="00E921FB" w:rsidRDefault="004B7965" w:rsidP="004B796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</w:p>
        </w:tc>
      </w:tr>
      <w:tr w:rsidR="00F67EA0" w:rsidRPr="00E921FB" w14:paraId="376C083D" w14:textId="77777777" w:rsidTr="00E921FB">
        <w:tc>
          <w:tcPr>
            <w:tcW w:w="322" w:type="dxa"/>
            <w:tcBorders>
              <w:right w:val="nil"/>
            </w:tcBorders>
          </w:tcPr>
          <w:p w14:paraId="6B39D0EB" w14:textId="77777777" w:rsidR="004B7965" w:rsidRPr="00E921FB" w:rsidRDefault="004B7965" w:rsidP="004B7965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4570" w:type="dxa"/>
            <w:tcBorders>
              <w:left w:val="nil"/>
              <w:right w:val="nil"/>
            </w:tcBorders>
          </w:tcPr>
          <w:p w14:paraId="2410B2F8" w14:textId="77777777" w:rsidR="004B7965" w:rsidRPr="00E921FB" w:rsidRDefault="004B7965" w:rsidP="004B7965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2.1.1.1.1.1. Darbo užmokestis</w:t>
            </w:r>
          </w:p>
        </w:tc>
        <w:tc>
          <w:tcPr>
            <w:tcW w:w="269" w:type="dxa"/>
            <w:tcBorders>
              <w:left w:val="nil"/>
            </w:tcBorders>
          </w:tcPr>
          <w:p w14:paraId="2FAEA7A4" w14:textId="77777777" w:rsidR="004B7965" w:rsidRPr="00E921FB" w:rsidRDefault="004B7965" w:rsidP="004B7965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5A62065C" w14:textId="77777777" w:rsidR="004B7965" w:rsidRPr="00E921FB" w:rsidRDefault="00DD31F0" w:rsidP="004B7965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150 217,23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7D9AD1B5" w14:textId="77777777" w:rsidR="004B7965" w:rsidRPr="00E921FB" w:rsidRDefault="002B0630" w:rsidP="004B7965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Atlyginimai mokami iki sekančio mėn. 8 d. todėl jie yra priskaičiuoti, bet neišmokėti</w:t>
            </w:r>
          </w:p>
        </w:tc>
      </w:tr>
      <w:tr w:rsidR="00F67EA0" w:rsidRPr="00E921FB" w14:paraId="7B5B7C54" w14:textId="77777777" w:rsidTr="00E921FB">
        <w:tc>
          <w:tcPr>
            <w:tcW w:w="322" w:type="dxa"/>
            <w:tcBorders>
              <w:right w:val="nil"/>
            </w:tcBorders>
          </w:tcPr>
          <w:p w14:paraId="4684CCD3" w14:textId="77777777" w:rsidR="004B7965" w:rsidRPr="00E921FB" w:rsidRDefault="004B7965" w:rsidP="004B7965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4570" w:type="dxa"/>
            <w:tcBorders>
              <w:left w:val="nil"/>
              <w:right w:val="nil"/>
            </w:tcBorders>
          </w:tcPr>
          <w:p w14:paraId="6FB28B1F" w14:textId="77777777" w:rsidR="004B7965" w:rsidRPr="00E921FB" w:rsidRDefault="004B7965" w:rsidP="004B7965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2.1.2.1.1.1. Socialinio draudimo įmokos</w:t>
            </w:r>
          </w:p>
        </w:tc>
        <w:tc>
          <w:tcPr>
            <w:tcW w:w="269" w:type="dxa"/>
            <w:tcBorders>
              <w:left w:val="nil"/>
            </w:tcBorders>
          </w:tcPr>
          <w:p w14:paraId="2F90279D" w14:textId="77777777" w:rsidR="004B7965" w:rsidRPr="00E921FB" w:rsidRDefault="004B7965" w:rsidP="004B7965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484C758C" w14:textId="77777777" w:rsidR="004B7965" w:rsidRPr="00E921FB" w:rsidRDefault="00DD31F0" w:rsidP="004B7965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2 334,87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38464896" w14:textId="77777777" w:rsidR="004B7965" w:rsidRPr="00E921FB" w:rsidRDefault="002B0630" w:rsidP="004B7965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VSDFV įmokos nuo priskaičiuotų, bet neišmokėtų atlyginimų. Įmokos bus sumokėtos po sekančio mėn. 8 d.</w:t>
            </w:r>
          </w:p>
        </w:tc>
      </w:tr>
      <w:tr w:rsidR="003E60FD" w:rsidRPr="00E921FB" w14:paraId="4C0185FE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7FBD9A8C" w14:textId="77777777" w:rsidR="003E60FD" w:rsidRPr="00E921FB" w:rsidRDefault="003E60FD" w:rsidP="003E60FD">
            <w:pPr>
              <w:widowControl w:val="0"/>
              <w:jc w:val="both"/>
              <w:rPr>
                <w:rFonts w:ascii="Times New Roman" w:eastAsia="Times New Roman" w:hAnsi="Times New Roman"/>
                <w:i/>
                <w:iCs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i/>
                <w:iCs/>
                <w:szCs w:val="20"/>
                <w:lang w:val="lt-LT"/>
              </w:rPr>
              <w:t>32 Įstaigos pajamų lėšos – atsitiktinės paslaugos</w:t>
            </w:r>
          </w:p>
        </w:tc>
        <w:tc>
          <w:tcPr>
            <w:tcW w:w="269" w:type="dxa"/>
            <w:tcBorders>
              <w:left w:val="nil"/>
            </w:tcBorders>
          </w:tcPr>
          <w:p w14:paraId="27DEECC4" w14:textId="77777777" w:rsidR="003E60FD" w:rsidRPr="00E921FB" w:rsidRDefault="003E60FD" w:rsidP="003E60FD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2E2DD114" w14:textId="77777777" w:rsidR="003E60FD" w:rsidRPr="00E921FB" w:rsidRDefault="00DD31F0" w:rsidP="003E60FD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13 652,81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2EBAB6BF" w14:textId="77777777" w:rsidR="003E60FD" w:rsidRPr="00E921FB" w:rsidRDefault="003E60FD" w:rsidP="003E60FD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</w:tr>
      <w:tr w:rsidR="00DD31F0" w:rsidRPr="00E921FB" w14:paraId="4BB5DB42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717E3B7C" w14:textId="77777777" w:rsidR="00DD31F0" w:rsidRPr="00E921FB" w:rsidRDefault="00DD31F0" w:rsidP="00DD31F0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 xml:space="preserve">      2.1.1.1.1.1. Darbo užmokestis</w:t>
            </w:r>
          </w:p>
        </w:tc>
        <w:tc>
          <w:tcPr>
            <w:tcW w:w="269" w:type="dxa"/>
            <w:tcBorders>
              <w:left w:val="nil"/>
            </w:tcBorders>
          </w:tcPr>
          <w:p w14:paraId="12BCF890" w14:textId="77777777" w:rsidR="00DD31F0" w:rsidRPr="00E921FB" w:rsidRDefault="00DD31F0" w:rsidP="00DD31F0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7698712B" w14:textId="77777777" w:rsidR="00DD31F0" w:rsidRPr="00E921FB" w:rsidRDefault="00DD31F0" w:rsidP="00DD31F0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6 395,29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513A7C0D" w14:textId="77777777" w:rsidR="00DD31F0" w:rsidRPr="00E921FB" w:rsidRDefault="00DD31F0" w:rsidP="00DD31F0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Atlyginimai mokami iki sekančio mėn. 8 d. todėl jie yra priskaičiuoti, bet neišmokėti</w:t>
            </w:r>
          </w:p>
        </w:tc>
      </w:tr>
      <w:tr w:rsidR="00DD31F0" w:rsidRPr="00E921FB" w14:paraId="70009AF2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1AA95955" w14:textId="77777777" w:rsidR="00DD31F0" w:rsidRPr="00E921FB" w:rsidRDefault="00DD31F0" w:rsidP="00DD31F0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 xml:space="preserve">      2.1.2.1.1.1. Socialinio draudimo įmokos</w:t>
            </w:r>
          </w:p>
        </w:tc>
        <w:tc>
          <w:tcPr>
            <w:tcW w:w="269" w:type="dxa"/>
            <w:tcBorders>
              <w:left w:val="nil"/>
            </w:tcBorders>
          </w:tcPr>
          <w:p w14:paraId="6DD4C9FF" w14:textId="77777777" w:rsidR="00DD31F0" w:rsidRPr="00E921FB" w:rsidRDefault="00DD31F0" w:rsidP="00DD31F0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17563DB7" w14:textId="77777777" w:rsidR="00DD31F0" w:rsidRPr="00E921FB" w:rsidRDefault="00DD31F0" w:rsidP="00DD31F0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94,20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628A558B" w14:textId="77777777" w:rsidR="00DD31F0" w:rsidRPr="00E921FB" w:rsidRDefault="00DD31F0" w:rsidP="00DD31F0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VSDFV įmokos nuo priskaičiuotų, bet neišmokėtų atlyginimų. Įmokos bus sumokėtos po sekančio mėn. 8 d.</w:t>
            </w:r>
          </w:p>
        </w:tc>
      </w:tr>
      <w:tr w:rsidR="004F2737" w:rsidRPr="00E921FB" w14:paraId="12CEA253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624533DE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hAnsi="Times New Roman"/>
                <w:iCs/>
                <w:szCs w:val="20"/>
              </w:rPr>
            </w:pPr>
            <w:r w:rsidRPr="00E921FB">
              <w:rPr>
                <w:rFonts w:ascii="Times New Roman" w:hAnsi="Times New Roman"/>
                <w:iCs/>
                <w:szCs w:val="20"/>
              </w:rPr>
              <w:t xml:space="preserve">     </w:t>
            </w: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 xml:space="preserve">2.2.1.1.1.02. Medikamentų ir </w:t>
            </w:r>
            <w:proofErr w:type="spellStart"/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medicinių</w:t>
            </w:r>
            <w:proofErr w:type="spellEnd"/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 xml:space="preserve"> prekių ir paslaugų įsigijimo išlaidos</w:t>
            </w:r>
          </w:p>
        </w:tc>
        <w:tc>
          <w:tcPr>
            <w:tcW w:w="269" w:type="dxa"/>
            <w:tcBorders>
              <w:left w:val="nil"/>
            </w:tcBorders>
          </w:tcPr>
          <w:p w14:paraId="13E3B287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2144A795" w14:textId="77777777" w:rsidR="004F2737" w:rsidRPr="00E921FB" w:rsidRDefault="00C13ABD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3 200,20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61DDBDFE" w14:textId="77777777" w:rsidR="004F2737" w:rsidRPr="00E921FB" w:rsidRDefault="004F2737" w:rsidP="004F2737">
            <w:pPr>
              <w:widowControl w:val="0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Sąskaitos pateiktos po ataskaitinio laikotarpio pabaigos, skirtingiems tiekėjams už įvairias paslaugas, lėšos naudotos pagal poreikį</w:t>
            </w:r>
          </w:p>
        </w:tc>
      </w:tr>
      <w:tr w:rsidR="004F2737" w:rsidRPr="00E921FB" w14:paraId="3E7080DC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1C3616F5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 xml:space="preserve">      2.2.1.1.1.20. Komunalinių paslaugų įsigijimo išlaidos</w:t>
            </w:r>
          </w:p>
        </w:tc>
        <w:tc>
          <w:tcPr>
            <w:tcW w:w="269" w:type="dxa"/>
            <w:tcBorders>
              <w:left w:val="nil"/>
            </w:tcBorders>
          </w:tcPr>
          <w:p w14:paraId="621B6F72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518F5C54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3 389,10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03D5DC49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Sąskaitos pateiktos po ataskaitinio laikotarpio pabaigos, skirtingiems tiekėjams už įvairias paslaugas, lėšos naudotos pagal poreikį</w:t>
            </w:r>
          </w:p>
        </w:tc>
      </w:tr>
      <w:tr w:rsidR="004F2737" w:rsidRPr="00E921FB" w14:paraId="413826DE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7D0C556E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 xml:space="preserve">    2.2.1.1.1.30. Kitų prekių ir paslaugų įsigijimo išlaidos</w:t>
            </w:r>
          </w:p>
        </w:tc>
        <w:tc>
          <w:tcPr>
            <w:tcW w:w="269" w:type="dxa"/>
            <w:tcBorders>
              <w:left w:val="nil"/>
            </w:tcBorders>
          </w:tcPr>
          <w:p w14:paraId="5D36512C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07D4FAB3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574,02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10A26638" w14:textId="77777777" w:rsidR="004F2737" w:rsidRPr="00E921FB" w:rsidRDefault="004F2737" w:rsidP="004F2737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Sąskaitos pateiktos po ataskaitinio laikotarpio pabaigos, skirtingiems tiekėjams už įvairias paslaugas</w:t>
            </w:r>
          </w:p>
        </w:tc>
      </w:tr>
      <w:tr w:rsidR="004F2737" w:rsidRPr="00E921FB" w14:paraId="7670D91B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2237F927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eastAsia="Times New Roman" w:hAnsi="Times New Roman"/>
                <w:i/>
                <w:iCs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i/>
                <w:iCs/>
                <w:szCs w:val="20"/>
                <w:lang w:val="lt-LT"/>
              </w:rPr>
              <w:t>33 Įstaigos pajamų lėšos – įmokos už paslaugas švietimo, socialinės apsaugos ir kitose įstaigose</w:t>
            </w:r>
          </w:p>
        </w:tc>
        <w:tc>
          <w:tcPr>
            <w:tcW w:w="269" w:type="dxa"/>
            <w:tcBorders>
              <w:left w:val="nil"/>
            </w:tcBorders>
          </w:tcPr>
          <w:p w14:paraId="585E133A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2C146B8B" w14:textId="77777777" w:rsidR="004F2737" w:rsidRPr="00E921FB" w:rsidRDefault="0063693F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39 935,58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266E7450" w14:textId="77777777" w:rsidR="004F2737" w:rsidRPr="00E921FB" w:rsidRDefault="004F2737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F2737" w:rsidRPr="00E921FB" w14:paraId="235C5243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6245DBEA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 xml:space="preserve">      2.1.1.1.1.1. Darbo užmokestis</w:t>
            </w:r>
          </w:p>
        </w:tc>
        <w:tc>
          <w:tcPr>
            <w:tcW w:w="269" w:type="dxa"/>
            <w:tcBorders>
              <w:left w:val="nil"/>
            </w:tcBorders>
          </w:tcPr>
          <w:p w14:paraId="2D128AA2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3B5D2E89" w14:textId="77777777" w:rsidR="004F2737" w:rsidRPr="00E921FB" w:rsidRDefault="0063693F" w:rsidP="004F2737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19 211,37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00CF14C4" w14:textId="77777777" w:rsidR="004F2737" w:rsidRPr="00E921FB" w:rsidRDefault="004F2737" w:rsidP="004F2737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Atlyginimai mokami iki sekančio mėn. 8 d. todėl jie yra priskaičiuoti, bet neišmokėti</w:t>
            </w:r>
          </w:p>
        </w:tc>
      </w:tr>
      <w:tr w:rsidR="004F2737" w:rsidRPr="00E921FB" w14:paraId="0C78F78C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27CC8A84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 xml:space="preserve">      2.1.2.1.1.1. Socialinio draudimo įmokos</w:t>
            </w:r>
          </w:p>
        </w:tc>
        <w:tc>
          <w:tcPr>
            <w:tcW w:w="269" w:type="dxa"/>
            <w:tcBorders>
              <w:left w:val="nil"/>
            </w:tcBorders>
          </w:tcPr>
          <w:p w14:paraId="6CEAB571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033F9D30" w14:textId="77777777" w:rsidR="004F2737" w:rsidRPr="00E921FB" w:rsidRDefault="0063693F" w:rsidP="004F2737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297,36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3A7DF050" w14:textId="77777777" w:rsidR="004F2737" w:rsidRPr="00E921FB" w:rsidRDefault="004F2737" w:rsidP="004F2737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VSDFV įmokos nuo priskaičiuotų, bet neišmokėtų atlyginimų. Įmokos bus sumokėtos po sekančio mėn. 8 d.</w:t>
            </w:r>
          </w:p>
        </w:tc>
      </w:tr>
      <w:tr w:rsidR="004F2737" w:rsidRPr="00E921FB" w14:paraId="1B79AF53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17BD6F1B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hAnsi="Times New Roman"/>
                <w:iCs/>
                <w:szCs w:val="20"/>
              </w:rPr>
            </w:pPr>
            <w:r w:rsidRPr="00E921FB">
              <w:rPr>
                <w:rFonts w:ascii="Times New Roman" w:hAnsi="Times New Roman"/>
                <w:iCs/>
                <w:szCs w:val="20"/>
              </w:rPr>
              <w:t xml:space="preserve">     </w:t>
            </w: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2.2.1.1.1.01. Mitybos išlaidos</w:t>
            </w:r>
          </w:p>
        </w:tc>
        <w:tc>
          <w:tcPr>
            <w:tcW w:w="269" w:type="dxa"/>
            <w:tcBorders>
              <w:left w:val="nil"/>
            </w:tcBorders>
          </w:tcPr>
          <w:p w14:paraId="595C2FF4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40A898FB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10 117,79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1F0199E5" w14:textId="77777777" w:rsidR="004F2737" w:rsidRPr="00E921FB" w:rsidRDefault="004F2737" w:rsidP="004F2737">
            <w:pPr>
              <w:widowControl w:val="0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Pagal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laikotarpio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sąmatą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lėšos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jau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buvo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išleistos</w:t>
            </w:r>
            <w:proofErr w:type="spellEnd"/>
          </w:p>
        </w:tc>
      </w:tr>
      <w:tr w:rsidR="004F2737" w:rsidRPr="00E921FB" w14:paraId="32745447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2647C16B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hAnsi="Times New Roman"/>
                <w:iCs/>
                <w:szCs w:val="20"/>
              </w:rPr>
            </w:pPr>
            <w:r w:rsidRPr="00E921FB">
              <w:rPr>
                <w:rFonts w:ascii="Times New Roman" w:hAnsi="Times New Roman"/>
                <w:iCs/>
                <w:szCs w:val="20"/>
              </w:rPr>
              <w:t xml:space="preserve">     </w:t>
            </w: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 xml:space="preserve">2.2.1.1.1.02. Medikamentų ir </w:t>
            </w:r>
            <w:proofErr w:type="spellStart"/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medicinių</w:t>
            </w:r>
            <w:proofErr w:type="spellEnd"/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 xml:space="preserve"> prekių ir paslaugų įsigijimo išlaidos</w:t>
            </w:r>
          </w:p>
        </w:tc>
        <w:tc>
          <w:tcPr>
            <w:tcW w:w="269" w:type="dxa"/>
            <w:tcBorders>
              <w:left w:val="nil"/>
            </w:tcBorders>
          </w:tcPr>
          <w:p w14:paraId="29D3FD8A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44B25E8A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32,03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09E1B1F2" w14:textId="77777777" w:rsidR="004F2737" w:rsidRPr="00E921FB" w:rsidRDefault="004F2737" w:rsidP="004F2737">
            <w:pPr>
              <w:widowControl w:val="0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Pagal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laikotarpio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sąmatą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lėšos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jau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buvo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išleistos</w:t>
            </w:r>
            <w:proofErr w:type="spellEnd"/>
          </w:p>
        </w:tc>
      </w:tr>
      <w:tr w:rsidR="004F2737" w:rsidRPr="00E921FB" w14:paraId="49E01DD3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33D1E695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hAnsi="Times New Roman"/>
                <w:iCs/>
                <w:szCs w:val="20"/>
              </w:rPr>
            </w:pPr>
            <w:r w:rsidRPr="00E921FB">
              <w:rPr>
                <w:rFonts w:ascii="Times New Roman" w:hAnsi="Times New Roman"/>
                <w:i/>
                <w:iCs/>
                <w:szCs w:val="20"/>
              </w:rPr>
              <w:t xml:space="preserve">     </w:t>
            </w:r>
            <w:r w:rsidRPr="00E921FB">
              <w:rPr>
                <w:rFonts w:ascii="Times New Roman" w:hAnsi="Times New Roman"/>
                <w:iCs/>
                <w:szCs w:val="20"/>
              </w:rPr>
              <w:t xml:space="preserve">2.2.1.1.1.05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Ryšių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įrangos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ir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paslaugų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įsigijimo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išlaidos</w:t>
            </w:r>
            <w:proofErr w:type="spellEnd"/>
          </w:p>
        </w:tc>
        <w:tc>
          <w:tcPr>
            <w:tcW w:w="269" w:type="dxa"/>
            <w:tcBorders>
              <w:left w:val="nil"/>
            </w:tcBorders>
          </w:tcPr>
          <w:p w14:paraId="1687C437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717F1C89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403,41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3476BA91" w14:textId="77777777" w:rsidR="004F2737" w:rsidRPr="00E921FB" w:rsidRDefault="004F2737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Sąskaitos pateiktos po ataskaitinio laikotarpio pabaigos, skirtingiems tiekėjams už įvairias paslaugas</w:t>
            </w:r>
          </w:p>
        </w:tc>
      </w:tr>
      <w:tr w:rsidR="004F2737" w:rsidRPr="00E921FB" w14:paraId="418A3C10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35E4F6A1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hAnsi="Times New Roman"/>
                <w:iCs/>
                <w:szCs w:val="20"/>
              </w:rPr>
            </w:pPr>
            <w:r w:rsidRPr="00E921FB">
              <w:rPr>
                <w:rFonts w:ascii="Times New Roman" w:hAnsi="Times New Roman"/>
                <w:iCs/>
                <w:szCs w:val="20"/>
              </w:rPr>
              <w:t xml:space="preserve">    2.2.1.1.1.06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Transporto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išlaikymo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ir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transport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paslaugų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įsigijimo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išlaidos</w:t>
            </w:r>
            <w:proofErr w:type="spellEnd"/>
          </w:p>
        </w:tc>
        <w:tc>
          <w:tcPr>
            <w:tcW w:w="269" w:type="dxa"/>
            <w:tcBorders>
              <w:left w:val="nil"/>
            </w:tcBorders>
          </w:tcPr>
          <w:p w14:paraId="2BD64333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55DCC4A8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1 156,52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117145AA" w14:textId="77777777" w:rsidR="004F2737" w:rsidRPr="00E921FB" w:rsidRDefault="004F2737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Sąskaitos pateiktos po ataskaitinio laikotarpio pabaigos, skirtingiems tiekėjams už įvairias paslaugas</w:t>
            </w:r>
          </w:p>
        </w:tc>
      </w:tr>
      <w:tr w:rsidR="004F2737" w:rsidRPr="00E921FB" w14:paraId="6540EE22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6F2EF937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hAnsi="Times New Roman"/>
                <w:iCs/>
                <w:szCs w:val="20"/>
              </w:rPr>
            </w:pPr>
            <w:r w:rsidRPr="00E921FB">
              <w:rPr>
                <w:rFonts w:ascii="Times New Roman" w:hAnsi="Times New Roman"/>
                <w:iCs/>
                <w:szCs w:val="20"/>
              </w:rPr>
              <w:t xml:space="preserve">   2.2.1.1.1.07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Aprangos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ir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patalynės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įsigijimo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bei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priežiūros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išlaidos</w:t>
            </w:r>
            <w:proofErr w:type="spellEnd"/>
          </w:p>
        </w:tc>
        <w:tc>
          <w:tcPr>
            <w:tcW w:w="269" w:type="dxa"/>
            <w:tcBorders>
              <w:left w:val="nil"/>
            </w:tcBorders>
          </w:tcPr>
          <w:p w14:paraId="781BB727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5A4E3CE4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1 687,14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0682DC0F" w14:textId="77777777" w:rsidR="004F2737" w:rsidRPr="00E921FB" w:rsidRDefault="004F2737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Sąskaitos pateiktos po ataskaitinio laikotarpio pabaigos, skirtingiems tiekėjams už įvairias paslaugas</w:t>
            </w:r>
          </w:p>
        </w:tc>
      </w:tr>
      <w:tr w:rsidR="004F2737" w:rsidRPr="00E921FB" w14:paraId="594D7092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06FC8185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hAnsi="Times New Roman"/>
                <w:i/>
                <w:iCs/>
                <w:szCs w:val="20"/>
              </w:rPr>
            </w:pPr>
            <w:r w:rsidRPr="00E921FB">
              <w:rPr>
                <w:rFonts w:ascii="Times New Roman" w:hAnsi="Times New Roman"/>
                <w:iCs/>
                <w:szCs w:val="20"/>
              </w:rPr>
              <w:t xml:space="preserve">   2.2.1.1.1.15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Materialiojo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turto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paprastojo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remonto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prekių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ir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paslaugų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įsigijimo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išlaidos</w:t>
            </w:r>
            <w:proofErr w:type="spellEnd"/>
          </w:p>
        </w:tc>
        <w:tc>
          <w:tcPr>
            <w:tcW w:w="269" w:type="dxa"/>
            <w:tcBorders>
              <w:left w:val="nil"/>
            </w:tcBorders>
          </w:tcPr>
          <w:p w14:paraId="200185C3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75755763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2 588,33</w:t>
            </w:r>
            <w:r w:rsidR="004F2737" w:rsidRPr="00E921FB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31A67118" w14:textId="77777777" w:rsidR="004F2737" w:rsidRPr="00E921FB" w:rsidRDefault="004F2737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E921FB">
              <w:rPr>
                <w:rFonts w:ascii="Times New Roman" w:hAnsi="Times New Roman"/>
                <w:szCs w:val="20"/>
              </w:rPr>
              <w:t>Sąskaitos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pateiktos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po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paskutinio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2025 m. </w:t>
            </w:r>
            <w:proofErr w:type="spellStart"/>
            <w:r w:rsidR="007362F7">
              <w:rPr>
                <w:rFonts w:ascii="Times New Roman" w:hAnsi="Times New Roman"/>
                <w:szCs w:val="20"/>
              </w:rPr>
              <w:t>rugsėjo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mėn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apmokėjimo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4F2737" w:rsidRPr="00E921FB" w14:paraId="6615CB1A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0AE47C7D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hAnsi="Times New Roman"/>
                <w:i/>
                <w:iCs/>
                <w:szCs w:val="20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 xml:space="preserve">   2.2.1.1.1.20. Komunalinių paslaugų įsigijimo išlaidos</w:t>
            </w:r>
          </w:p>
        </w:tc>
        <w:tc>
          <w:tcPr>
            <w:tcW w:w="269" w:type="dxa"/>
            <w:tcBorders>
              <w:left w:val="nil"/>
            </w:tcBorders>
          </w:tcPr>
          <w:p w14:paraId="7A888D04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6396C8D7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4 222,18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2AA3B9A5" w14:textId="77777777" w:rsidR="004F2737" w:rsidRPr="00E921FB" w:rsidRDefault="004F2737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Sąskaitos pateiktos po ataskaitinio laikotarpio pabaigos, skirtingiems tiekėjams už įvairias paslaugas</w:t>
            </w:r>
          </w:p>
        </w:tc>
      </w:tr>
      <w:tr w:rsidR="004F2737" w:rsidRPr="00E921FB" w14:paraId="634BD042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6D1D8E51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hAnsi="Times New Roman"/>
                <w:iCs/>
                <w:szCs w:val="20"/>
              </w:rPr>
            </w:pPr>
            <w:r w:rsidRPr="00E921FB">
              <w:rPr>
                <w:rFonts w:ascii="Times New Roman" w:hAnsi="Times New Roman"/>
                <w:iCs/>
                <w:szCs w:val="20"/>
              </w:rPr>
              <w:t xml:space="preserve">   2.2.1.1.1.21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Informacinių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technologijų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prekių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ir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paslaugų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lastRenderedPageBreak/>
              <w:t>įsigijimo</w:t>
            </w:r>
            <w:proofErr w:type="spellEnd"/>
            <w:r w:rsidRPr="00E921FB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iCs/>
                <w:szCs w:val="20"/>
              </w:rPr>
              <w:t>išlaidos</w:t>
            </w:r>
            <w:proofErr w:type="spellEnd"/>
          </w:p>
        </w:tc>
        <w:tc>
          <w:tcPr>
            <w:tcW w:w="269" w:type="dxa"/>
            <w:tcBorders>
              <w:left w:val="nil"/>
            </w:tcBorders>
          </w:tcPr>
          <w:p w14:paraId="21E9AC85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1C8C1DCB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36,30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465FC66B" w14:textId="77777777" w:rsidR="004F2737" w:rsidRPr="00E921FB" w:rsidRDefault="004F2737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E921FB">
              <w:rPr>
                <w:rFonts w:ascii="Times New Roman" w:hAnsi="Times New Roman"/>
                <w:szCs w:val="20"/>
              </w:rPr>
              <w:t>Pagal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laikotarpio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sąmatą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lėšos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jau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lastRenderedPageBreak/>
              <w:t>buvo</w:t>
            </w:r>
            <w:proofErr w:type="spellEnd"/>
            <w:r w:rsidRPr="00E921F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21FB">
              <w:rPr>
                <w:rFonts w:ascii="Times New Roman" w:hAnsi="Times New Roman"/>
                <w:szCs w:val="20"/>
              </w:rPr>
              <w:t>išleistos</w:t>
            </w:r>
            <w:proofErr w:type="spellEnd"/>
          </w:p>
        </w:tc>
      </w:tr>
      <w:tr w:rsidR="004F2737" w:rsidRPr="00E921FB" w14:paraId="45698DE5" w14:textId="77777777" w:rsidTr="00E921FB">
        <w:tc>
          <w:tcPr>
            <w:tcW w:w="4892" w:type="dxa"/>
            <w:gridSpan w:val="2"/>
            <w:tcBorders>
              <w:right w:val="nil"/>
            </w:tcBorders>
          </w:tcPr>
          <w:p w14:paraId="6E816890" w14:textId="77777777" w:rsidR="004F2737" w:rsidRPr="00E921FB" w:rsidRDefault="004F2737" w:rsidP="004F2737">
            <w:pPr>
              <w:widowControl w:val="0"/>
              <w:jc w:val="both"/>
              <w:rPr>
                <w:rFonts w:ascii="Times New Roman" w:hAnsi="Times New Roman"/>
                <w:i/>
                <w:iCs/>
                <w:szCs w:val="20"/>
              </w:rPr>
            </w:pPr>
            <w:r w:rsidRPr="00E921FB">
              <w:rPr>
                <w:rFonts w:ascii="Times New Roman" w:hAnsi="Times New Roman"/>
                <w:i/>
                <w:iCs/>
                <w:szCs w:val="20"/>
              </w:rPr>
              <w:lastRenderedPageBreak/>
              <w:t xml:space="preserve">   </w:t>
            </w: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2.2.1.1.1.30. Kitų prekių ir paslaugų įsigijimo išlaidos</w:t>
            </w:r>
          </w:p>
        </w:tc>
        <w:tc>
          <w:tcPr>
            <w:tcW w:w="269" w:type="dxa"/>
            <w:tcBorders>
              <w:left w:val="nil"/>
            </w:tcBorders>
          </w:tcPr>
          <w:p w14:paraId="75954E6D" w14:textId="77777777" w:rsidR="004F2737" w:rsidRPr="00E921FB" w:rsidRDefault="004F2737" w:rsidP="004F2737">
            <w:pPr>
              <w:widowControl w:val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7BEE9E03" w14:textId="77777777" w:rsidR="004F2737" w:rsidRPr="00E921FB" w:rsidRDefault="00DD31F0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hAnsi="Times New Roman"/>
                <w:szCs w:val="20"/>
              </w:rPr>
              <w:t>183,15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0C30C105" w14:textId="77777777" w:rsidR="004F2737" w:rsidRPr="00E921FB" w:rsidRDefault="004F2737" w:rsidP="004F2737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Sąskaitos pateiktos po ataskaitinio laikotarpio pabaigos, skirtingiems tiekėjams už įvairias paslaugas</w:t>
            </w:r>
          </w:p>
        </w:tc>
      </w:tr>
      <w:tr w:rsidR="00E921FB" w:rsidRPr="00E921FB" w14:paraId="2585AB53" w14:textId="77777777" w:rsidTr="00E921FB">
        <w:trPr>
          <w:trHeight w:val="436"/>
        </w:trPr>
        <w:tc>
          <w:tcPr>
            <w:tcW w:w="4892" w:type="dxa"/>
            <w:gridSpan w:val="2"/>
            <w:tcBorders>
              <w:right w:val="nil"/>
            </w:tcBorders>
          </w:tcPr>
          <w:p w14:paraId="7D75630E" w14:textId="77777777" w:rsidR="00E921FB" w:rsidRPr="00E921FB" w:rsidRDefault="00E921FB" w:rsidP="005A1472">
            <w:pPr>
              <w:widowControl w:val="0"/>
              <w:jc w:val="both"/>
              <w:rPr>
                <w:rFonts w:ascii="Times New Roman" w:eastAsia="Times New Roman" w:hAnsi="Times New Roman"/>
                <w:i/>
                <w:iCs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i/>
                <w:iCs/>
                <w:szCs w:val="20"/>
                <w:lang w:val="lt-LT"/>
              </w:rPr>
              <w:t>1452 Valstybės biudžeto lėšos socialinėms reikmėms</w:t>
            </w:r>
          </w:p>
        </w:tc>
        <w:tc>
          <w:tcPr>
            <w:tcW w:w="269" w:type="dxa"/>
            <w:tcBorders>
              <w:left w:val="nil"/>
            </w:tcBorders>
          </w:tcPr>
          <w:p w14:paraId="1B65FA43" w14:textId="77777777" w:rsidR="00E921FB" w:rsidRPr="00E921FB" w:rsidRDefault="00E921FB" w:rsidP="005A1472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323E9EA7" w14:textId="77777777" w:rsidR="00E921FB" w:rsidRPr="00E921FB" w:rsidRDefault="00E921FB" w:rsidP="005A1472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6 258,</w:t>
            </w:r>
            <w:r w:rsidR="00701B83">
              <w:rPr>
                <w:rFonts w:ascii="Times New Roman" w:eastAsia="Times New Roman" w:hAnsi="Times New Roman"/>
                <w:szCs w:val="20"/>
                <w:lang w:val="lt-LT"/>
              </w:rPr>
              <w:t>3</w:t>
            </w:r>
            <w:r>
              <w:rPr>
                <w:rFonts w:ascii="Times New Roman" w:eastAsia="Times New Roman" w:hAnsi="Times New Roman"/>
                <w:szCs w:val="20"/>
                <w:lang w:val="lt-LT"/>
              </w:rPr>
              <w:t>2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27593CFE" w14:textId="77777777" w:rsidR="00E921FB" w:rsidRPr="00E921FB" w:rsidRDefault="00E921FB" w:rsidP="005A1472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</w:p>
        </w:tc>
      </w:tr>
      <w:tr w:rsidR="00E921FB" w:rsidRPr="00E921FB" w14:paraId="773E4AD5" w14:textId="77777777" w:rsidTr="00E921FB">
        <w:tc>
          <w:tcPr>
            <w:tcW w:w="322" w:type="dxa"/>
            <w:tcBorders>
              <w:right w:val="nil"/>
            </w:tcBorders>
          </w:tcPr>
          <w:p w14:paraId="140A5AD5" w14:textId="77777777" w:rsidR="00E921FB" w:rsidRPr="00E921FB" w:rsidRDefault="00E921FB" w:rsidP="005A1472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4570" w:type="dxa"/>
            <w:tcBorders>
              <w:left w:val="nil"/>
              <w:right w:val="nil"/>
            </w:tcBorders>
          </w:tcPr>
          <w:p w14:paraId="6C4B6263" w14:textId="77777777" w:rsidR="00E921FB" w:rsidRPr="00E921FB" w:rsidRDefault="00E921FB" w:rsidP="005A1472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2.1.1.1.1.1. Darbo užmokestis</w:t>
            </w:r>
          </w:p>
        </w:tc>
        <w:tc>
          <w:tcPr>
            <w:tcW w:w="269" w:type="dxa"/>
            <w:tcBorders>
              <w:left w:val="nil"/>
            </w:tcBorders>
          </w:tcPr>
          <w:p w14:paraId="230A54F8" w14:textId="77777777" w:rsidR="00E921FB" w:rsidRPr="00E921FB" w:rsidRDefault="00E921FB" w:rsidP="005A1472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5E6A823D" w14:textId="77777777" w:rsidR="00E921FB" w:rsidRPr="00E921FB" w:rsidRDefault="00E921FB" w:rsidP="005A1472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6 168,90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37133753" w14:textId="77777777" w:rsidR="00E921FB" w:rsidRPr="00E921FB" w:rsidRDefault="00E921FB" w:rsidP="005A1472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Atlyginimai mokami iki sekančio mėn. 8 d. todėl jie yra priskaičiuoti, bet neišmokėti</w:t>
            </w:r>
          </w:p>
        </w:tc>
      </w:tr>
      <w:tr w:rsidR="00E921FB" w:rsidRPr="00E921FB" w14:paraId="05CB8508" w14:textId="77777777" w:rsidTr="00E921FB">
        <w:tc>
          <w:tcPr>
            <w:tcW w:w="322" w:type="dxa"/>
            <w:tcBorders>
              <w:right w:val="nil"/>
            </w:tcBorders>
          </w:tcPr>
          <w:p w14:paraId="2BC9CBDC" w14:textId="77777777" w:rsidR="00E921FB" w:rsidRPr="00E921FB" w:rsidRDefault="00E921FB" w:rsidP="005A1472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4570" w:type="dxa"/>
            <w:tcBorders>
              <w:left w:val="nil"/>
              <w:right w:val="nil"/>
            </w:tcBorders>
          </w:tcPr>
          <w:p w14:paraId="779E81C6" w14:textId="77777777" w:rsidR="00E921FB" w:rsidRPr="00E921FB" w:rsidRDefault="00E921FB" w:rsidP="005A1472">
            <w:pPr>
              <w:widowControl w:val="0"/>
              <w:jc w:val="both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2.1.2.1.1.1. Socialinio draudimo įmokos</w:t>
            </w:r>
          </w:p>
        </w:tc>
        <w:tc>
          <w:tcPr>
            <w:tcW w:w="269" w:type="dxa"/>
            <w:tcBorders>
              <w:left w:val="nil"/>
            </w:tcBorders>
          </w:tcPr>
          <w:p w14:paraId="16E57461" w14:textId="77777777" w:rsidR="00E921FB" w:rsidRPr="00E921FB" w:rsidRDefault="00E921FB" w:rsidP="005A1472">
            <w:pPr>
              <w:widowControl w:val="0"/>
              <w:jc w:val="right"/>
              <w:rPr>
                <w:rFonts w:ascii="Times New Roman" w:eastAsia="Times New Roman" w:hAnsi="Times New Roman"/>
                <w:szCs w:val="20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7BAE72FE" w14:textId="77777777" w:rsidR="00E921FB" w:rsidRPr="00E921FB" w:rsidRDefault="00E921FB" w:rsidP="005A1472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89,42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6E7E7E98" w14:textId="77777777" w:rsidR="00E921FB" w:rsidRPr="00E921FB" w:rsidRDefault="00E921FB" w:rsidP="005A1472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E921FB">
              <w:rPr>
                <w:rFonts w:ascii="Times New Roman" w:eastAsia="Times New Roman" w:hAnsi="Times New Roman"/>
                <w:szCs w:val="20"/>
                <w:lang w:val="lt-LT"/>
              </w:rPr>
              <w:t>VSDFV įmokos nuo priskaičiuotų, bet neišmokėtų atlyginimų. Įmokos bus sumokėtos po sekančio mėn. 8 d.</w:t>
            </w:r>
          </w:p>
        </w:tc>
      </w:tr>
    </w:tbl>
    <w:p w14:paraId="6BBB4877" w14:textId="77777777" w:rsidR="004B7965" w:rsidRDefault="004B7965" w:rsidP="004B7965">
      <w:pPr>
        <w:widowControl w:val="0"/>
        <w:rPr>
          <w:szCs w:val="24"/>
        </w:rPr>
      </w:pPr>
    </w:p>
    <w:p w14:paraId="0AD7DECA" w14:textId="77777777" w:rsidR="00D10EDC" w:rsidRPr="00F67EA0" w:rsidRDefault="00D10EDC" w:rsidP="004B7965">
      <w:pPr>
        <w:widowControl w:val="0"/>
        <w:rPr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EA0" w:rsidRPr="00F67EA0" w14:paraId="61DD0E7C" w14:textId="77777777" w:rsidTr="008C4365">
        <w:tc>
          <w:tcPr>
            <w:tcW w:w="9962" w:type="dxa"/>
          </w:tcPr>
          <w:p w14:paraId="168AB20B" w14:textId="77777777" w:rsidR="004B7965" w:rsidRPr="00F67EA0" w:rsidRDefault="004B7965" w:rsidP="004B796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Papildomi paaiškinimai dėl įstaigos mokėtinų sumų (jeigu apmokėjimo terminas yra suėjęs).</w:t>
            </w:r>
          </w:p>
        </w:tc>
      </w:tr>
      <w:tr w:rsidR="004B7965" w:rsidRPr="00F67EA0" w14:paraId="1EA269CF" w14:textId="77777777" w:rsidTr="008C4365">
        <w:tc>
          <w:tcPr>
            <w:tcW w:w="9962" w:type="dxa"/>
          </w:tcPr>
          <w:p w14:paraId="7881979D" w14:textId="77777777" w:rsidR="004B7965" w:rsidRPr="00F67EA0" w:rsidRDefault="004B7965" w:rsidP="004B79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Mokėtinų sumų, kurių apmokėjimo terminas yra suėjęs įstaiga neturi.</w:t>
            </w:r>
          </w:p>
        </w:tc>
      </w:tr>
    </w:tbl>
    <w:p w14:paraId="57C1E2C5" w14:textId="77777777" w:rsidR="004B7965" w:rsidRPr="00F67EA0" w:rsidRDefault="004B7965" w:rsidP="004B7965">
      <w:pPr>
        <w:spacing w:after="160" w:line="259" w:lineRule="auto"/>
        <w:rPr>
          <w:szCs w:val="24"/>
        </w:rPr>
      </w:pPr>
    </w:p>
    <w:p w14:paraId="44257EBA" w14:textId="77777777" w:rsidR="004B7965" w:rsidRPr="00F67EA0" w:rsidRDefault="004B7965" w:rsidP="004B7965">
      <w:pPr>
        <w:pStyle w:val="Sraopastraipa"/>
        <w:numPr>
          <w:ilvl w:val="0"/>
          <w:numId w:val="1"/>
        </w:numPr>
        <w:ind w:left="0" w:firstLine="993"/>
        <w:jc w:val="both"/>
        <w:rPr>
          <w:szCs w:val="24"/>
        </w:rPr>
      </w:pPr>
      <w:r w:rsidRPr="00F67EA0">
        <w:rPr>
          <w:szCs w:val="24"/>
        </w:rPr>
        <w:t xml:space="preserve">Biudžetinių lėšų sąskaitose (kasoje, mokėjimo kortelėse) lėšų likučiai metų pradžioje ir ataskaitinio laikotarpio pabaigoje ir paaiškinamos jų susidarymo priežastys. </w:t>
      </w:r>
    </w:p>
    <w:p w14:paraId="6D7B7345" w14:textId="77777777" w:rsidR="004B7965" w:rsidRDefault="004B7965" w:rsidP="004B7965">
      <w:pPr>
        <w:widowControl w:val="0"/>
        <w:jc w:val="right"/>
        <w:outlineLvl w:val="0"/>
        <w:rPr>
          <w:sz w:val="20"/>
        </w:rPr>
      </w:pPr>
      <w:r w:rsidRPr="00F67EA0">
        <w:rPr>
          <w:sz w:val="20"/>
        </w:rPr>
        <w:t xml:space="preserve">(Tikslumas – eurai, ct) </w:t>
      </w:r>
    </w:p>
    <w:p w14:paraId="340205C5" w14:textId="77777777" w:rsidR="00547CEA" w:rsidRPr="00F67EA0" w:rsidRDefault="00547CEA" w:rsidP="004B7965">
      <w:pPr>
        <w:widowControl w:val="0"/>
        <w:jc w:val="right"/>
        <w:outlineLvl w:val="0"/>
        <w:rPr>
          <w:sz w:val="20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11"/>
        <w:gridCol w:w="2523"/>
        <w:gridCol w:w="1393"/>
        <w:gridCol w:w="2070"/>
        <w:gridCol w:w="3131"/>
      </w:tblGrid>
      <w:tr w:rsidR="00F67EA0" w:rsidRPr="00F67EA0" w14:paraId="76F79A79" w14:textId="77777777" w:rsidTr="008C4365">
        <w:tc>
          <w:tcPr>
            <w:tcW w:w="511" w:type="dxa"/>
            <w:vAlign w:val="center"/>
          </w:tcPr>
          <w:p w14:paraId="4CA41907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Eil. Nr.</w:t>
            </w:r>
          </w:p>
        </w:tc>
        <w:tc>
          <w:tcPr>
            <w:tcW w:w="2603" w:type="dxa"/>
            <w:vAlign w:val="center"/>
          </w:tcPr>
          <w:p w14:paraId="4E60FFCD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Informacija apie biudžetinių lėšų likučius</w:t>
            </w:r>
          </w:p>
        </w:tc>
        <w:tc>
          <w:tcPr>
            <w:tcW w:w="1417" w:type="dxa"/>
            <w:vAlign w:val="center"/>
          </w:tcPr>
          <w:p w14:paraId="7A4248A4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Likutis metų pradžioje</w:t>
            </w:r>
          </w:p>
        </w:tc>
        <w:tc>
          <w:tcPr>
            <w:tcW w:w="2127" w:type="dxa"/>
            <w:vAlign w:val="center"/>
          </w:tcPr>
          <w:p w14:paraId="5BE9AE5E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Likutis ataskaitinio laikotarpio pabaigoje</w:t>
            </w:r>
          </w:p>
        </w:tc>
        <w:tc>
          <w:tcPr>
            <w:tcW w:w="3260" w:type="dxa"/>
            <w:vAlign w:val="center"/>
          </w:tcPr>
          <w:p w14:paraId="2ED3307B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Likučio susidarymo priežastys</w:t>
            </w:r>
          </w:p>
        </w:tc>
      </w:tr>
      <w:tr w:rsidR="00F67EA0" w:rsidRPr="00F67EA0" w14:paraId="70AEC6C3" w14:textId="77777777" w:rsidTr="008C4365">
        <w:tc>
          <w:tcPr>
            <w:tcW w:w="511" w:type="dxa"/>
          </w:tcPr>
          <w:p w14:paraId="13EE1237" w14:textId="77777777"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3" w:type="dxa"/>
          </w:tcPr>
          <w:p w14:paraId="2F3D7E01" w14:textId="77777777"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Biudžetinių lėšų likutis banke</w:t>
            </w:r>
          </w:p>
        </w:tc>
        <w:tc>
          <w:tcPr>
            <w:tcW w:w="1417" w:type="dxa"/>
            <w:vAlign w:val="center"/>
          </w:tcPr>
          <w:p w14:paraId="6517C4C7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0,00</w:t>
            </w:r>
          </w:p>
        </w:tc>
        <w:tc>
          <w:tcPr>
            <w:tcW w:w="2127" w:type="dxa"/>
            <w:vAlign w:val="center"/>
          </w:tcPr>
          <w:p w14:paraId="5BE4ED05" w14:textId="77777777" w:rsidR="004B7965" w:rsidRPr="00F67EA0" w:rsidRDefault="0063693F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325,40</w:t>
            </w:r>
          </w:p>
        </w:tc>
        <w:tc>
          <w:tcPr>
            <w:tcW w:w="3260" w:type="dxa"/>
            <w:vAlign w:val="center"/>
          </w:tcPr>
          <w:p w14:paraId="7865B3C7" w14:textId="77777777" w:rsidR="004B7965" w:rsidRPr="00F67EA0" w:rsidRDefault="00C8631F" w:rsidP="0063693F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151 lėšų likutis – </w:t>
            </w:r>
            <w:r w:rsidR="0063693F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81,50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Eur, 32 lėšų likutis – </w:t>
            </w:r>
            <w:r w:rsidR="0063693F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78, 77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Eur.</w:t>
            </w:r>
            <w:r w:rsidR="00916DA8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, 33 lėšų – </w:t>
            </w:r>
            <w:r w:rsidR="0063693F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165,13</w:t>
            </w:r>
            <w:r w:rsidR="00916DA8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Eu</w:t>
            </w:r>
            <w:r w:rsidR="003E4F1B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r.</w:t>
            </w:r>
          </w:p>
        </w:tc>
      </w:tr>
      <w:tr w:rsidR="00F67EA0" w:rsidRPr="00F67EA0" w14:paraId="7EEEA366" w14:textId="77777777" w:rsidTr="008C4365">
        <w:tc>
          <w:tcPr>
            <w:tcW w:w="511" w:type="dxa"/>
          </w:tcPr>
          <w:p w14:paraId="7C0C0F36" w14:textId="77777777"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3" w:type="dxa"/>
          </w:tcPr>
          <w:p w14:paraId="75B08BDE" w14:textId="77777777"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Mokėjimo kortelėse</w:t>
            </w:r>
          </w:p>
        </w:tc>
        <w:tc>
          <w:tcPr>
            <w:tcW w:w="1417" w:type="dxa"/>
            <w:vAlign w:val="center"/>
          </w:tcPr>
          <w:p w14:paraId="10F2AA3A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0,00</w:t>
            </w:r>
          </w:p>
        </w:tc>
        <w:tc>
          <w:tcPr>
            <w:tcW w:w="2127" w:type="dxa"/>
            <w:vAlign w:val="center"/>
          </w:tcPr>
          <w:p w14:paraId="4879402C" w14:textId="77777777" w:rsidR="004B7965" w:rsidRPr="00F67EA0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0,00</w:t>
            </w:r>
          </w:p>
        </w:tc>
        <w:tc>
          <w:tcPr>
            <w:tcW w:w="3260" w:type="dxa"/>
            <w:vAlign w:val="center"/>
          </w:tcPr>
          <w:p w14:paraId="6E9FAE4D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4B7965" w:rsidRPr="00F67EA0" w14:paraId="70903B9A" w14:textId="77777777" w:rsidTr="008C4365">
        <w:tc>
          <w:tcPr>
            <w:tcW w:w="511" w:type="dxa"/>
          </w:tcPr>
          <w:p w14:paraId="23FF81C2" w14:textId="77777777"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3" w:type="dxa"/>
          </w:tcPr>
          <w:p w14:paraId="1C21B324" w14:textId="77777777"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Kasoje</w:t>
            </w:r>
          </w:p>
        </w:tc>
        <w:tc>
          <w:tcPr>
            <w:tcW w:w="1417" w:type="dxa"/>
            <w:vAlign w:val="center"/>
          </w:tcPr>
          <w:p w14:paraId="53E22061" w14:textId="77777777" w:rsidR="004B7965" w:rsidRPr="00F67EA0" w:rsidRDefault="009331BD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</w:t>
            </w:r>
            <w:r w:rsidR="00E921FB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,00</w:t>
            </w:r>
          </w:p>
        </w:tc>
        <w:tc>
          <w:tcPr>
            <w:tcW w:w="2127" w:type="dxa"/>
            <w:vAlign w:val="center"/>
          </w:tcPr>
          <w:p w14:paraId="2500FAD6" w14:textId="77777777" w:rsidR="004B7965" w:rsidRPr="00F67EA0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0,00</w:t>
            </w:r>
          </w:p>
        </w:tc>
        <w:tc>
          <w:tcPr>
            <w:tcW w:w="3260" w:type="dxa"/>
            <w:vAlign w:val="center"/>
          </w:tcPr>
          <w:p w14:paraId="31A3B62A" w14:textId="77777777"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684B74AF" w14:textId="77777777" w:rsidR="004B7965" w:rsidRPr="00F67EA0" w:rsidRDefault="004B7965" w:rsidP="004B7965">
      <w:pPr>
        <w:widowControl w:val="0"/>
        <w:jc w:val="both"/>
        <w:outlineLvl w:val="0"/>
        <w:rPr>
          <w:bCs/>
          <w:szCs w:val="24"/>
        </w:rPr>
      </w:pPr>
    </w:p>
    <w:p w14:paraId="31C85396" w14:textId="77777777" w:rsidR="004B7965" w:rsidRPr="00F67EA0" w:rsidRDefault="004B7965" w:rsidP="004B7965">
      <w:pPr>
        <w:pStyle w:val="Sraopastraipa"/>
        <w:widowControl w:val="0"/>
        <w:numPr>
          <w:ilvl w:val="0"/>
          <w:numId w:val="1"/>
        </w:numPr>
        <w:ind w:left="0" w:firstLine="993"/>
        <w:jc w:val="both"/>
        <w:outlineLvl w:val="0"/>
        <w:rPr>
          <w:szCs w:val="24"/>
        </w:rPr>
      </w:pPr>
      <w:bookmarkStart w:id="1" w:name="part_b8dccfddba6c48bc92f7aca1dc713053"/>
      <w:bookmarkStart w:id="2" w:name="part_9868e24a252040a5a71e5a2ef4172ecb"/>
      <w:bookmarkStart w:id="3" w:name="part_e41f6b4d08024b96881b55fcb6ba606d"/>
      <w:bookmarkEnd w:id="1"/>
      <w:bookmarkEnd w:id="2"/>
      <w:bookmarkEnd w:id="3"/>
      <w:r w:rsidRPr="00F67EA0">
        <w:rPr>
          <w:szCs w:val="24"/>
        </w:rPr>
        <w:t>Informacija apie kitus svarbius įvykius ir aplinkybes, kurie galėtų paveikti įstaigos veiklą.</w:t>
      </w:r>
    </w:p>
    <w:p w14:paraId="6D3B7E8D" w14:textId="77777777" w:rsidR="004B7965" w:rsidRPr="00F67EA0" w:rsidRDefault="004B7965" w:rsidP="004B7965">
      <w:pPr>
        <w:widowControl w:val="0"/>
        <w:ind w:firstLine="993"/>
        <w:jc w:val="both"/>
        <w:outlineLvl w:val="0"/>
        <w:rPr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7965" w:rsidRPr="00F67EA0" w14:paraId="36D4ECFD" w14:textId="77777777" w:rsidTr="008C4365">
        <w:tc>
          <w:tcPr>
            <w:tcW w:w="9962" w:type="dxa"/>
          </w:tcPr>
          <w:p w14:paraId="1E72D7FE" w14:textId="77777777" w:rsidR="004B7965" w:rsidRPr="00F67EA0" w:rsidRDefault="004B7965" w:rsidP="004B7965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Biudžeto vykdymo ataskaitų rinkinio sudarymo dienai tokių įvykių ir aplinkybių nėra</w:t>
            </w:r>
            <w:r w:rsidR="00547CE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219464DA" w14:textId="77777777" w:rsidR="004B7965" w:rsidRPr="00F67EA0" w:rsidRDefault="004B7965" w:rsidP="004B7965">
      <w:pPr>
        <w:widowControl w:val="0"/>
        <w:jc w:val="both"/>
        <w:outlineLvl w:val="0"/>
        <w:rPr>
          <w:szCs w:val="24"/>
        </w:rPr>
      </w:pPr>
    </w:p>
    <w:p w14:paraId="54EDC8D9" w14:textId="77777777" w:rsidR="004B7965" w:rsidRPr="00F67EA0" w:rsidRDefault="004B7965" w:rsidP="004B7965">
      <w:pPr>
        <w:pStyle w:val="Sraopastraipa"/>
        <w:widowControl w:val="0"/>
        <w:numPr>
          <w:ilvl w:val="0"/>
          <w:numId w:val="1"/>
        </w:numPr>
        <w:ind w:left="0" w:firstLine="993"/>
        <w:rPr>
          <w:szCs w:val="24"/>
        </w:rPr>
      </w:pPr>
      <w:r w:rsidRPr="00F67EA0">
        <w:rPr>
          <w:szCs w:val="24"/>
        </w:rPr>
        <w:t>Informacija apie gautinas sumas.</w:t>
      </w:r>
    </w:p>
    <w:p w14:paraId="413F1BE0" w14:textId="77777777" w:rsidR="004B7965" w:rsidRDefault="004B7965" w:rsidP="004B7965">
      <w:pPr>
        <w:widowControl w:val="0"/>
        <w:jc w:val="right"/>
        <w:outlineLvl w:val="0"/>
        <w:rPr>
          <w:sz w:val="20"/>
        </w:rPr>
      </w:pPr>
      <w:r w:rsidRPr="00F67EA0">
        <w:rPr>
          <w:sz w:val="20"/>
        </w:rPr>
        <w:t>(Tikslumas – eurai, ct)</w:t>
      </w:r>
    </w:p>
    <w:p w14:paraId="2D1D418F" w14:textId="77777777" w:rsidR="00547CEA" w:rsidRPr="00F67EA0" w:rsidRDefault="00547CEA" w:rsidP="004B7965">
      <w:pPr>
        <w:widowControl w:val="0"/>
        <w:jc w:val="right"/>
        <w:outlineLvl w:val="0"/>
        <w:rPr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856"/>
        <w:gridCol w:w="2772"/>
      </w:tblGrid>
      <w:tr w:rsidR="00F67EA0" w:rsidRPr="00F67EA0" w14:paraId="5FC60A8B" w14:textId="77777777" w:rsidTr="009331BD">
        <w:tc>
          <w:tcPr>
            <w:tcW w:w="6856" w:type="dxa"/>
          </w:tcPr>
          <w:p w14:paraId="5668D4FA" w14:textId="77777777" w:rsidR="004B7965" w:rsidRPr="00F67EA0" w:rsidRDefault="004B7965" w:rsidP="004B7965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Gautinų sumų rūšis</w:t>
            </w:r>
          </w:p>
        </w:tc>
        <w:tc>
          <w:tcPr>
            <w:tcW w:w="2772" w:type="dxa"/>
          </w:tcPr>
          <w:p w14:paraId="0EBF6659" w14:textId="77777777" w:rsidR="004B7965" w:rsidRPr="00F67EA0" w:rsidRDefault="004B7965" w:rsidP="004B796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Gautina suma</w:t>
            </w:r>
          </w:p>
        </w:tc>
      </w:tr>
      <w:tr w:rsidR="004B7965" w:rsidRPr="00F67EA0" w14:paraId="037EF6C2" w14:textId="77777777" w:rsidTr="009331BD">
        <w:tc>
          <w:tcPr>
            <w:tcW w:w="6856" w:type="dxa"/>
          </w:tcPr>
          <w:p w14:paraId="4B8F68C3" w14:textId="77777777" w:rsidR="004B7965" w:rsidRPr="00F67EA0" w:rsidRDefault="00C8631F" w:rsidP="00547CEA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2262001 Gautinos sumos už suteiktas paslaugas</w:t>
            </w:r>
          </w:p>
        </w:tc>
        <w:tc>
          <w:tcPr>
            <w:tcW w:w="2772" w:type="dxa"/>
          </w:tcPr>
          <w:p w14:paraId="57B2DAC1" w14:textId="77777777" w:rsidR="004B7965" w:rsidRPr="00F67EA0" w:rsidRDefault="00E921FB" w:rsidP="004B796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22 040,67</w:t>
            </w:r>
          </w:p>
        </w:tc>
      </w:tr>
      <w:tr w:rsidR="009331BD" w:rsidRPr="00F67EA0" w14:paraId="32B5B01F" w14:textId="77777777" w:rsidTr="009331BD">
        <w:tc>
          <w:tcPr>
            <w:tcW w:w="6856" w:type="dxa"/>
          </w:tcPr>
          <w:p w14:paraId="38CD1F62" w14:textId="77777777" w:rsidR="009331BD" w:rsidRPr="00F67EA0" w:rsidRDefault="009331BD" w:rsidP="009331BD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2267001 Gautinos įmokos už paslaugas, švietimo socialinės apsaugos ir kitose įstaigose</w:t>
            </w:r>
          </w:p>
        </w:tc>
        <w:tc>
          <w:tcPr>
            <w:tcW w:w="2772" w:type="dxa"/>
          </w:tcPr>
          <w:p w14:paraId="3039C134" w14:textId="77777777" w:rsidR="009331BD" w:rsidRPr="00F67EA0" w:rsidRDefault="00E921FB" w:rsidP="009331B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24 146,00</w:t>
            </w:r>
          </w:p>
        </w:tc>
      </w:tr>
    </w:tbl>
    <w:p w14:paraId="7F3272FE" w14:textId="77777777" w:rsidR="004B7965" w:rsidRPr="00F67EA0" w:rsidRDefault="004B7965" w:rsidP="004B7965">
      <w:pPr>
        <w:widowControl w:val="0"/>
        <w:tabs>
          <w:tab w:val="left" w:pos="7371"/>
        </w:tabs>
        <w:jc w:val="both"/>
        <w:rPr>
          <w:szCs w:val="24"/>
        </w:rPr>
      </w:pPr>
    </w:p>
    <w:p w14:paraId="4D728364" w14:textId="77777777" w:rsidR="009972FA" w:rsidRPr="00F67EA0" w:rsidRDefault="008D0018">
      <w:pPr>
        <w:tabs>
          <w:tab w:val="left" w:pos="540"/>
        </w:tabs>
        <w:ind w:firstLine="567"/>
        <w:jc w:val="both"/>
        <w:rPr>
          <w:i/>
          <w:iCs/>
          <w:szCs w:val="24"/>
          <w:lang w:eastAsia="lt-LT"/>
        </w:rPr>
      </w:pPr>
      <w:r w:rsidRPr="00F67EA0">
        <w:rPr>
          <w:i/>
          <w:iCs/>
          <w:szCs w:val="24"/>
          <w:lang w:eastAsia="lt-LT"/>
        </w:rPr>
        <w:t xml:space="preserve">PRIEDAI: </w:t>
      </w:r>
    </w:p>
    <w:p w14:paraId="3D277CC1" w14:textId="77777777" w:rsidR="009972FA" w:rsidRPr="00F67EA0" w:rsidRDefault="008D0018">
      <w:pPr>
        <w:tabs>
          <w:tab w:val="left" w:pos="0"/>
          <w:tab w:val="left" w:pos="540"/>
          <w:tab w:val="left" w:pos="851"/>
        </w:tabs>
        <w:ind w:firstLine="567"/>
        <w:jc w:val="both"/>
        <w:rPr>
          <w:i/>
          <w:iCs/>
          <w:szCs w:val="24"/>
          <w:lang w:eastAsia="lt-LT"/>
        </w:rPr>
      </w:pPr>
      <w:r w:rsidRPr="00F67EA0">
        <w:rPr>
          <w:i/>
          <w:iCs/>
          <w:szCs w:val="24"/>
          <w:lang w:eastAsia="lt-LT"/>
        </w:rPr>
        <w:t>1. Informacija apie biudžetinių įstaigų pajamas pagal 20</w:t>
      </w:r>
      <w:r w:rsidR="00777036">
        <w:rPr>
          <w:i/>
          <w:iCs/>
          <w:szCs w:val="24"/>
          <w:lang w:eastAsia="lt-LT"/>
        </w:rPr>
        <w:t>25</w:t>
      </w:r>
      <w:r w:rsidRPr="00F67EA0">
        <w:rPr>
          <w:i/>
          <w:iCs/>
          <w:szCs w:val="24"/>
          <w:lang w:eastAsia="lt-LT"/>
        </w:rPr>
        <w:t> m. </w:t>
      </w:r>
      <w:r w:rsidR="0063693F">
        <w:rPr>
          <w:i/>
          <w:iCs/>
          <w:szCs w:val="24"/>
          <w:lang w:eastAsia="lt-LT"/>
        </w:rPr>
        <w:t>rugsėjo</w:t>
      </w:r>
      <w:r w:rsidR="00777036">
        <w:rPr>
          <w:i/>
          <w:iCs/>
          <w:szCs w:val="24"/>
          <w:lang w:eastAsia="lt-LT"/>
        </w:rPr>
        <w:t xml:space="preserve"> 3</w:t>
      </w:r>
      <w:r w:rsidR="003E4F1B">
        <w:rPr>
          <w:i/>
          <w:iCs/>
          <w:szCs w:val="24"/>
          <w:lang w:eastAsia="lt-LT"/>
        </w:rPr>
        <w:t>0</w:t>
      </w:r>
      <w:r w:rsidRPr="00F67EA0">
        <w:rPr>
          <w:i/>
          <w:iCs/>
          <w:szCs w:val="24"/>
          <w:lang w:eastAsia="lt-LT"/>
        </w:rPr>
        <w:t> d. duomenis</w:t>
      </w:r>
      <w:r w:rsidR="00141560">
        <w:rPr>
          <w:i/>
          <w:iCs/>
          <w:szCs w:val="24"/>
          <w:lang w:eastAsia="lt-LT"/>
        </w:rPr>
        <w:t xml:space="preserve"> </w:t>
      </w:r>
      <w:r w:rsidRPr="00F67EA0">
        <w:rPr>
          <w:i/>
          <w:iCs/>
          <w:szCs w:val="24"/>
          <w:lang w:eastAsia="lt-LT"/>
        </w:rPr>
        <w:t>(3 priedas).</w:t>
      </w:r>
    </w:p>
    <w:p w14:paraId="2EE9C165" w14:textId="77777777" w:rsidR="009972FA" w:rsidRPr="00F67EA0" w:rsidRDefault="009972FA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58AD0BE4" w14:textId="77777777" w:rsidR="009972FA" w:rsidRDefault="009972FA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01AE1F9F" w14:textId="77777777" w:rsidR="00B63E7B" w:rsidRDefault="0041763B" w:rsidP="00B63E7B">
      <w:pPr>
        <w:rPr>
          <w:lang w:eastAsia="lt-LT"/>
        </w:rPr>
      </w:pPr>
      <w:r w:rsidRPr="00F67EA0">
        <w:rPr>
          <w:szCs w:val="24"/>
          <w:lang w:eastAsia="lt-LT"/>
        </w:rPr>
        <w:t>Direktorius</w:t>
      </w:r>
      <w:r w:rsidRPr="00F67EA0">
        <w:rPr>
          <w:szCs w:val="24"/>
          <w:lang w:eastAsia="lt-LT"/>
        </w:rPr>
        <w:tab/>
      </w:r>
      <w:r w:rsidRPr="00F67EA0">
        <w:rPr>
          <w:caps/>
          <w:szCs w:val="24"/>
          <w:lang w:eastAsia="lt-LT"/>
        </w:rPr>
        <w:tab/>
      </w:r>
      <w:r w:rsidR="00B63E7B">
        <w:rPr>
          <w:szCs w:val="24"/>
          <w:lang w:eastAsia="lt-LT"/>
        </w:rPr>
        <w:t xml:space="preserve"> </w:t>
      </w:r>
      <w:r w:rsidR="00B63E7B">
        <w:rPr>
          <w:szCs w:val="24"/>
          <w:u w:val="single"/>
          <w:lang w:eastAsia="lt-LT"/>
        </w:rPr>
        <w:t xml:space="preserve">                           </w:t>
      </w:r>
      <w:r w:rsidR="00B63E7B">
        <w:rPr>
          <w:szCs w:val="24"/>
          <w:lang w:eastAsia="lt-LT"/>
        </w:rPr>
        <w:t xml:space="preserve">                                    </w:t>
      </w:r>
      <w:r w:rsidR="00B63E7B">
        <w:rPr>
          <w:szCs w:val="24"/>
          <w:u w:val="single"/>
          <w:lang w:eastAsia="lt-LT"/>
        </w:rPr>
        <w:t xml:space="preserve">Danutė </w:t>
      </w:r>
      <w:proofErr w:type="spellStart"/>
      <w:r w:rsidR="00B63E7B">
        <w:rPr>
          <w:szCs w:val="24"/>
          <w:u w:val="single"/>
          <w:lang w:eastAsia="lt-LT"/>
        </w:rPr>
        <w:t>Akaveckienė</w:t>
      </w:r>
      <w:proofErr w:type="spellEnd"/>
      <w:r w:rsidR="00B63E7B">
        <w:rPr>
          <w:caps/>
          <w:szCs w:val="24"/>
          <w:lang w:eastAsia="lt-LT"/>
        </w:rPr>
        <w:t>_</w:t>
      </w:r>
      <w:r w:rsidR="00B63E7B">
        <w:rPr>
          <w:lang w:eastAsia="lt-LT"/>
        </w:rPr>
        <w:tab/>
      </w:r>
      <w:r w:rsidR="00B63E7B">
        <w:rPr>
          <w:lang w:eastAsia="lt-LT"/>
        </w:rPr>
        <w:tab/>
        <w:t xml:space="preserve">                             (parašas)</w:t>
      </w:r>
      <w:r w:rsidR="00B63E7B">
        <w:rPr>
          <w:lang w:eastAsia="lt-LT"/>
        </w:rPr>
        <w:tab/>
        <w:t xml:space="preserve">                     (vardas ir pavardė)</w:t>
      </w:r>
    </w:p>
    <w:p w14:paraId="0FFFB88F" w14:textId="77777777" w:rsidR="00B63E7B" w:rsidRDefault="00B63E7B" w:rsidP="00B63E7B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6057F65B" w14:textId="77777777" w:rsidR="00B63E7B" w:rsidRDefault="00B63E7B" w:rsidP="00B63E7B">
      <w:pPr>
        <w:tabs>
          <w:tab w:val="left" w:pos="851"/>
        </w:tabs>
        <w:jc w:val="both"/>
        <w:rPr>
          <w:caps/>
          <w:szCs w:val="24"/>
          <w:lang w:eastAsia="lt-LT"/>
        </w:rPr>
      </w:pPr>
      <w:r>
        <w:rPr>
          <w:szCs w:val="24"/>
          <w:lang w:eastAsia="lt-LT"/>
        </w:rPr>
        <w:t>Šiaulių apskaitos centro Vyr. buhalterė</w:t>
      </w:r>
      <w:r>
        <w:rPr>
          <w:szCs w:val="24"/>
          <w:lang w:eastAsia="lt-LT"/>
        </w:rPr>
        <w:tab/>
        <w:t xml:space="preserve">         </w:t>
      </w:r>
      <w:r>
        <w:rPr>
          <w:caps/>
          <w:szCs w:val="24"/>
          <w:lang w:eastAsia="lt-LT"/>
        </w:rPr>
        <w:t xml:space="preserve">_____________          </w:t>
      </w:r>
      <w:r>
        <w:rPr>
          <w:szCs w:val="24"/>
          <w:u w:val="single"/>
          <w:lang w:eastAsia="lt-LT"/>
        </w:rPr>
        <w:t xml:space="preserve">Stanislava </w:t>
      </w:r>
      <w:proofErr w:type="spellStart"/>
      <w:r>
        <w:rPr>
          <w:szCs w:val="24"/>
          <w:u w:val="single"/>
          <w:lang w:eastAsia="lt-LT"/>
        </w:rPr>
        <w:t>Vaičiulienė</w:t>
      </w:r>
      <w:proofErr w:type="spellEnd"/>
    </w:p>
    <w:p w14:paraId="2992D894" w14:textId="77777777" w:rsidR="00B63E7B" w:rsidRDefault="00B63E7B" w:rsidP="00B63E7B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(parašas)</w:t>
      </w:r>
      <w:r>
        <w:rPr>
          <w:sz w:val="20"/>
          <w:lang w:eastAsia="lt-LT"/>
        </w:rPr>
        <w:tab/>
        <w:t xml:space="preserve">           (vardas ir pavardė)</w:t>
      </w:r>
    </w:p>
    <w:p w14:paraId="018B5F3D" w14:textId="77777777" w:rsidR="009972FA" w:rsidRPr="00F67EA0" w:rsidRDefault="009972FA" w:rsidP="00B63E7B">
      <w:pPr>
        <w:rPr>
          <w:caps/>
          <w:szCs w:val="24"/>
          <w:lang w:eastAsia="lt-LT"/>
        </w:rPr>
      </w:pPr>
    </w:p>
    <w:sectPr w:rsidR="009972FA" w:rsidRPr="00F67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18CE" w14:textId="77777777" w:rsidR="00EF6670" w:rsidRDefault="00EF6670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1FDF27F1" w14:textId="77777777" w:rsidR="00EF6670" w:rsidRDefault="00EF6670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AC14" w14:textId="77777777" w:rsidR="009972FA" w:rsidRDefault="009972FA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8882" w14:textId="77777777" w:rsidR="009972FA" w:rsidRDefault="009972FA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5C80" w14:textId="77777777" w:rsidR="009972FA" w:rsidRDefault="009972FA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7F23" w14:textId="77777777" w:rsidR="00EF6670" w:rsidRDefault="00EF6670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6195D903" w14:textId="77777777" w:rsidR="00EF6670" w:rsidRDefault="00EF6670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E8FE" w14:textId="77777777" w:rsidR="009972FA" w:rsidRDefault="008D001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308933C4" w14:textId="77777777" w:rsidR="009972FA" w:rsidRDefault="009972FA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E089" w14:textId="77777777" w:rsidR="009972FA" w:rsidRDefault="008D001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63693F">
      <w:rPr>
        <w:noProof/>
        <w:color w:val="000000"/>
        <w:szCs w:val="24"/>
        <w:lang w:eastAsia="lt-LT"/>
      </w:rPr>
      <w:t>4</w:t>
    </w:r>
    <w:r>
      <w:rPr>
        <w:color w:val="000000"/>
        <w:szCs w:val="24"/>
        <w:lang w:eastAsia="lt-LT"/>
      </w:rPr>
      <w:fldChar w:fldCharType="end"/>
    </w:r>
  </w:p>
  <w:p w14:paraId="28E8BF10" w14:textId="77777777" w:rsidR="009972FA" w:rsidRDefault="009972FA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0B2C" w14:textId="77777777" w:rsidR="009972FA" w:rsidRDefault="009972FA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993"/>
        </w:tabs>
        <w:ind w:left="1353" w:hanging="36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78B5B27"/>
    <w:multiLevelType w:val="hybridMultilevel"/>
    <w:tmpl w:val="64AA2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19323">
    <w:abstractNumId w:val="0"/>
  </w:num>
  <w:num w:numId="2" w16cid:durableId="173449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5368D"/>
    <w:rsid w:val="0008102D"/>
    <w:rsid w:val="000B42DD"/>
    <w:rsid w:val="000D60B0"/>
    <w:rsid w:val="000E0981"/>
    <w:rsid w:val="000E6FE5"/>
    <w:rsid w:val="001069B4"/>
    <w:rsid w:val="001100ED"/>
    <w:rsid w:val="0011252D"/>
    <w:rsid w:val="00116C3D"/>
    <w:rsid w:val="00141560"/>
    <w:rsid w:val="00146774"/>
    <w:rsid w:val="001824C4"/>
    <w:rsid w:val="00193650"/>
    <w:rsid w:val="001B2786"/>
    <w:rsid w:val="001E262B"/>
    <w:rsid w:val="0022147F"/>
    <w:rsid w:val="0028535A"/>
    <w:rsid w:val="002954C5"/>
    <w:rsid w:val="002B0630"/>
    <w:rsid w:val="002F127A"/>
    <w:rsid w:val="00303668"/>
    <w:rsid w:val="00323B61"/>
    <w:rsid w:val="00371E63"/>
    <w:rsid w:val="003C507C"/>
    <w:rsid w:val="003C545A"/>
    <w:rsid w:val="003E086F"/>
    <w:rsid w:val="003E4F1B"/>
    <w:rsid w:val="003E60FD"/>
    <w:rsid w:val="0040365F"/>
    <w:rsid w:val="00410F9B"/>
    <w:rsid w:val="0041763B"/>
    <w:rsid w:val="004B7965"/>
    <w:rsid w:val="004E29EB"/>
    <w:rsid w:val="004F2737"/>
    <w:rsid w:val="004F511D"/>
    <w:rsid w:val="00512D74"/>
    <w:rsid w:val="00527297"/>
    <w:rsid w:val="00547CEA"/>
    <w:rsid w:val="00552ABE"/>
    <w:rsid w:val="005A2B1F"/>
    <w:rsid w:val="005B1487"/>
    <w:rsid w:val="00607D9D"/>
    <w:rsid w:val="00611D4D"/>
    <w:rsid w:val="0063693F"/>
    <w:rsid w:val="00661ADD"/>
    <w:rsid w:val="006B5F2D"/>
    <w:rsid w:val="00701B83"/>
    <w:rsid w:val="00716DD0"/>
    <w:rsid w:val="007362F7"/>
    <w:rsid w:val="00772B1B"/>
    <w:rsid w:val="00777036"/>
    <w:rsid w:val="00777DA4"/>
    <w:rsid w:val="0078229B"/>
    <w:rsid w:val="00831FAE"/>
    <w:rsid w:val="00847ED9"/>
    <w:rsid w:val="00870286"/>
    <w:rsid w:val="008D0018"/>
    <w:rsid w:val="00904B58"/>
    <w:rsid w:val="009079E4"/>
    <w:rsid w:val="00912145"/>
    <w:rsid w:val="009168D7"/>
    <w:rsid w:val="00916DA8"/>
    <w:rsid w:val="00921AD7"/>
    <w:rsid w:val="009331BD"/>
    <w:rsid w:val="0093799F"/>
    <w:rsid w:val="009972FA"/>
    <w:rsid w:val="009D4092"/>
    <w:rsid w:val="00A011A1"/>
    <w:rsid w:val="00A42558"/>
    <w:rsid w:val="00A92C2D"/>
    <w:rsid w:val="00AC1DD7"/>
    <w:rsid w:val="00AF398C"/>
    <w:rsid w:val="00B13272"/>
    <w:rsid w:val="00B27964"/>
    <w:rsid w:val="00B34E4C"/>
    <w:rsid w:val="00B57B9C"/>
    <w:rsid w:val="00B63E7B"/>
    <w:rsid w:val="00B85988"/>
    <w:rsid w:val="00BD1245"/>
    <w:rsid w:val="00C13ABD"/>
    <w:rsid w:val="00C21ACE"/>
    <w:rsid w:val="00C22EB4"/>
    <w:rsid w:val="00C27508"/>
    <w:rsid w:val="00C4239D"/>
    <w:rsid w:val="00C53853"/>
    <w:rsid w:val="00C5738C"/>
    <w:rsid w:val="00C8631F"/>
    <w:rsid w:val="00CB59BB"/>
    <w:rsid w:val="00CC3E87"/>
    <w:rsid w:val="00CE725E"/>
    <w:rsid w:val="00D10EDC"/>
    <w:rsid w:val="00D1435A"/>
    <w:rsid w:val="00D31E54"/>
    <w:rsid w:val="00D4015C"/>
    <w:rsid w:val="00D563A2"/>
    <w:rsid w:val="00D604C6"/>
    <w:rsid w:val="00D861EF"/>
    <w:rsid w:val="00DB67F6"/>
    <w:rsid w:val="00DC56DF"/>
    <w:rsid w:val="00DD31F0"/>
    <w:rsid w:val="00DD394C"/>
    <w:rsid w:val="00DE5528"/>
    <w:rsid w:val="00DF304E"/>
    <w:rsid w:val="00DF7AA7"/>
    <w:rsid w:val="00E237B0"/>
    <w:rsid w:val="00E713F4"/>
    <w:rsid w:val="00E769C6"/>
    <w:rsid w:val="00E921FB"/>
    <w:rsid w:val="00E94036"/>
    <w:rsid w:val="00E955B9"/>
    <w:rsid w:val="00ED562D"/>
    <w:rsid w:val="00EF6670"/>
    <w:rsid w:val="00F67EA0"/>
    <w:rsid w:val="00F95E48"/>
    <w:rsid w:val="00FA3439"/>
    <w:rsid w:val="00FA5CDC"/>
    <w:rsid w:val="00FB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B9537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921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069B4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4B7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35AA-3967-40F1-9B67-4B4A5498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5829</Words>
  <Characters>3323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FM</Company>
  <LinksUpToDate>false</LinksUpToDate>
  <CharactersWithSpaces>9134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Buhalterija</cp:lastModifiedBy>
  <cp:revision>2</cp:revision>
  <cp:lastPrinted>2025-10-16T08:46:00Z</cp:lastPrinted>
  <dcterms:created xsi:type="dcterms:W3CDTF">2025-10-16T08:46:00Z</dcterms:created>
  <dcterms:modified xsi:type="dcterms:W3CDTF">2025-10-16T08:46:00Z</dcterms:modified>
</cp:coreProperties>
</file>